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837907" w:rsidTr="00A60CA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83790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707E98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wojskowości</w:t>
            </w:r>
            <w:r w:rsidR="00837907" w:rsidRPr="00F077F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 czasach nowożytnych</w:t>
            </w:r>
          </w:p>
        </w:tc>
      </w:tr>
      <w:tr w:rsidR="00837907" w:rsidTr="00A60CA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03B</w:t>
            </w:r>
          </w:p>
        </w:tc>
      </w:tr>
      <w:tr w:rsidR="00837907" w:rsidTr="00A60CA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837907" w:rsidTr="00A60CA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DA3852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83790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837907" w:rsidRDefault="00837907" w:rsidP="00837907"/>
    <w:p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3790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651F3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83790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7907" w:rsidRDefault="00837907" w:rsidP="00837907">
      <w:pPr>
        <w:shd w:val="clear" w:color="auto" w:fill="FFFFFF"/>
        <w:jc w:val="both"/>
      </w:pPr>
    </w:p>
    <w:p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wojskowości w epoce nowożytnej oraz sposoby jej praktycznego zastosowania w popularyzacji wiedzy historycznej.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przedstawić kluczowe etapy rozwoju wojskowości w okresie nowożytnym (schyłek znaczenia rycerstwa średniowiecznego, rozwój technologii militarnych w XVI w. z podkreśleniem roli broni palnej oraz fortyfikacji w systemie </w:t>
      </w:r>
      <w:proofErr w:type="spellStart"/>
      <w:r>
        <w:rPr>
          <w:rFonts w:ascii="Times New Roman" w:hAnsi="Times New Roman"/>
          <w:sz w:val="24"/>
          <w:szCs w:val="24"/>
        </w:rPr>
        <w:t>basztowo-</w:t>
      </w:r>
      <w:r>
        <w:rPr>
          <w:rFonts w:ascii="Times New Roman" w:hAnsi="Times New Roman"/>
          <w:sz w:val="24"/>
          <w:szCs w:val="24"/>
        </w:rPr>
        <w:lastRenderedPageBreak/>
        <w:t>bastejowym</w:t>
      </w:r>
      <w:proofErr w:type="spellEnd"/>
      <w:r>
        <w:rPr>
          <w:rFonts w:ascii="Times New Roman" w:hAnsi="Times New Roman"/>
          <w:sz w:val="24"/>
          <w:szCs w:val="24"/>
        </w:rPr>
        <w:t xml:space="preserve"> i bastionowym, teoria tzw. rewolucji militarnej w okresie XVI-XVII w. i jej elementy (m.in. wz</w:t>
      </w:r>
      <w:r w:rsidR="00E9107C">
        <w:rPr>
          <w:rFonts w:ascii="Times New Roman" w:hAnsi="Times New Roman"/>
          <w:sz w:val="24"/>
          <w:szCs w:val="24"/>
        </w:rPr>
        <w:t>rost liczebności sił zbrojnych oraz</w:t>
      </w:r>
      <w:r>
        <w:rPr>
          <w:rFonts w:ascii="Times New Roman" w:hAnsi="Times New Roman"/>
          <w:sz w:val="24"/>
          <w:szCs w:val="24"/>
        </w:rPr>
        <w:t xml:space="preserve"> roli </w:t>
      </w:r>
      <w:r w:rsidR="00E9107C">
        <w:rPr>
          <w:rFonts w:ascii="Times New Roman" w:hAnsi="Times New Roman"/>
          <w:sz w:val="24"/>
          <w:szCs w:val="24"/>
        </w:rPr>
        <w:t xml:space="preserve">i siły ognia </w:t>
      </w:r>
      <w:r>
        <w:rPr>
          <w:rFonts w:ascii="Times New Roman" w:hAnsi="Times New Roman"/>
          <w:sz w:val="24"/>
          <w:szCs w:val="24"/>
        </w:rPr>
        <w:t>piechoty w armiach czołowych państw europejskich), odmienności rozwoju sztuki wojennej w Europie Środkowo-Wschodniej w porównaniu do państw Europy Zachodniej, działania asymetryczne jako ważny czynnik definiujących specyfikę teatrów działań wojennych w peryferyjnych częściach Europy).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wojen i wojskowości epoki nowożytnej.</w:t>
      </w:r>
    </w:p>
    <w:p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32C5C">
        <w:rPr>
          <w:rFonts w:ascii="Times New Roman" w:hAnsi="Times New Roman" w:cs="Times New Roman"/>
          <w:b/>
          <w:sz w:val="24"/>
          <w:szCs w:val="24"/>
        </w:rPr>
        <w:t xml:space="preserve">Znajomość historii wojen epoki nowożytnej w zakresie szkoły średniej, 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Polski przedrozbiorowej i Europy Środkowo-Wschodniej w epoce nowożytnej.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</w:rPr>
      </w:pP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837907" w:rsidRPr="00E151B8" w:rsidTr="001878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AD73ED" w:rsidRDefault="00AD73ED" w:rsidP="00AD73E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elementarną wiedzą na temat usytuowania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k humanistycznych, jej znaczenia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powiązaniach </w:t>
            </w:r>
            <w:proofErr w:type="spellStart"/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-interdyscyplinarnych z historią wojskowości, zorientowaną na zastosowanie praktyczne w upowszechnianiu wiedzy historycznej.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C94EDA" w:rsidP="00DA385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z zakresu historii wojskowości w epoce nowożytnej</w:t>
            </w:r>
            <w:r w:rsidR="0096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AD73ED" w:rsidRDefault="00C94EDA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potrafi samodzielnie pracować z różnego rodzajami źródeł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zadawać im odpowiednie pytania oraz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analizować, oceniać przydatność, selekcjonować i praktycznie wykorzystywać informacje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AD73ED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 krytycznie wykorzystując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9615CA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zdobytych umiejętności, jest świadomy potrzeby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ciągłego poszerzania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swojej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 i uczenia się oraz doskonalenia kompetencji zawodowych, co pozwala na wyznaczanie kierunków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837907" w:rsidRPr="00E151B8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refleksji historycznej dla zachowania tożsamości narodowej,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ciągłości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kulturowego kraju,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 regionu i cywilizacji europejskiej oraz kształtowania więzi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837907" w:rsidRPr="00E151B8" w:rsidRDefault="00837907" w:rsidP="00837907">
      <w:pPr>
        <w:pStyle w:val="Bezodstpw"/>
        <w:rPr>
          <w:rFonts w:ascii="Times New Roman" w:hAnsi="Times New Roman" w:cs="Times New Roman"/>
          <w:b/>
          <w:kern w:val="1"/>
        </w:rPr>
      </w:pPr>
    </w:p>
    <w:p w:rsidR="00837907" w:rsidRPr="00F077F6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Europejski teatr działań wojennych w epoce nowożytnej. Charakterystyka i uwarunkowania polsko-litewskiego teatru działań wojennych w okresie XVI-XVII wieku.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Przemiany w europejskiej sztuce wojennej u schyłku średniowiecza i początkach nowożytności w kontekście przekształceń w architekturze obronnej.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Teoria rewolucji militarnej i jej znaczenie dla poznania i interpretacji rozwoju nowożytnych systemów militarnych Europy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Wojna Trzydziestoletnia 1618-1648 – przyczyny, przebieg i skutki konfliktu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Dwie strefy działań militarnych w Europie nowożytnej – działania regularne i nieregularne, działania militarne w wymiarze taktycznym, operacyjnym i na poziomie strategicznym.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Żołnierz epoki nowożytnej: od rycerza do żołnierza profesjonalisty (kondotiera). Relacje wojskowych z ludnością cywilną podczas wojen i konfliktów zbrojnych (działania militarne w miastach i na obszarach wiejskich).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Sztuka wojenna w państwie polsko-litewskim w epoce nowożytnej. Organizacja, struktura, liczebność i uzbrojenie sił zbrojnych Rzeczypospolitej w XVI-XVIII wieku.</w:t>
            </w:r>
          </w:p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Wojskowość staropolska okresie XVI-XVIII wieku. Proweniencja zagrożeń dla bezpieczeństwa państwa oraz najważniejsze konflikty zbrojne, ich przebieg i skutki geopolityczne.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:rsidR="00837907" w:rsidRPr="00C32C5C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Rzeczypospolitej jako teatr działań wojennych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architektury militarnej na ziemiach koronnych  państwa polsko-litewskiego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rewolucji militarnej – pusty frazes czy odbicie wojskowej rzeczywistości historycznej?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działań wojennych podczas Wojny Trzydziestoletniej na obszarze państw niemieckich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zbrojne w zachodniej i wschodniej części Europy w XVII stuleciu – podobieństwa i różnice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Żołnierze a ludność cywilna podczas wojen i konfliktów zbrojnych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Szczytowe osiągnięcia staropolskiej sztuki wojennej – bitwy pod Kircholmem (1605),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Kłuszynem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(1610), Chocimiem (1621 i 1673) i Wiedniem (1683)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Geopolityczne aspekty zagrożeń militarnych Rzeczypospolitej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3852" w:rsidRDefault="00DA3852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837907" w:rsidRPr="00F077F6" w:rsidTr="0018780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F077F6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837907" w:rsidRPr="00F077F6" w:rsidRDefault="00837907" w:rsidP="00837907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837907" w:rsidRPr="00C32C5C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837907" w:rsidRPr="00C32C5C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837907" w:rsidRPr="00C32C5C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A60CA8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DA3852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52" w:rsidRPr="00C32C5C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52" w:rsidRPr="009615CA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sz w:val="24"/>
                <w:szCs w:val="24"/>
              </w:rPr>
              <w:t>Zaliczenie ćwiczeń</w:t>
            </w:r>
          </w:p>
        </w:tc>
      </w:tr>
      <w:tr w:rsidR="00837907" w:rsidRPr="00C32C5C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837907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837907" w:rsidRPr="00F077F6" w:rsidTr="0018780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837907" w:rsidRPr="00F077F6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wojskowości epoki nowożytnej. Zna podstawowe pojęcia i procesy rozwojowe sztuki wojennej w okresie nowożytnym.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 nowożytnej. Zna i orientuje się dobrze w zakresie podstawowych  pojęć i procesów rozwojowych dotyczących nowożytnej sztuki wojennej.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epoki nowożytnej. Zna na dobrym poziomie najważniejsze pojęcia i procesy rozwojowe sztuki wojennej  doby nowożytnej. Odnośnie wybranych zagadnień z zakresu nowożytnej sztuki wojennej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 epoce nowożytnej. Zna na dobrym poziomie najważniejsze pojęcia i procesy rozwojowe  sztuki wojennej w epoce nowożytnej. Odnośnie niektórych zagadnień z zakresu nowożytnej sztuki wojennej 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w epoce nowożytnej. Zna na dobrym poziomie najważniejsze pojęcia i procesy rozwojowe sztuki wojennej w epoce nowożytnej. Odnośnie do większości zagadnień z zakresu nowożytnej sztuki wojennej potrafi wykazać się wiedzą wykraczającą poza poziom podstawowy. </w:t>
            </w:r>
          </w:p>
        </w:tc>
      </w:tr>
      <w:tr w:rsidR="00837907" w:rsidRPr="00F077F6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837907" w:rsidRPr="00F077F6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elementarne różnice rozwojowe europejskiej sztuki wojennej w epoce nowożytnej. Posiada świadomość znaczenia i osiągnięć nowożytnej sztuki wojennej dla dalszego rozwoju Europy. Posiada elementarną wiedzę i świadomość oryginalnego polskiego wkładu w rozwój nowożytnej sztuki wojennej w Europie.  </w:t>
            </w:r>
          </w:p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podstawowe różnice rozwojowe europejskiej sztuki wojennej w epoce nowożytnej. Posiada świadomość znaczenia i osiągnięć nowożytnej sztuki wojennej dla dalszego rozwoju Europy. Posiada podstawową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C32C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istotne różnice rozwojowe europejskiej sztuki wojennej w epoce nowożytnej. Posiada znaczącą świadomość znaczenia i osiągnięć nowożytnej sztuki wojennej dla dalszego rozwoju Europy. Posiada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i w krytyczny sposób analizuje  różnice rozwojowe europejskiej sztuki wojennej w epoce nowożytnej. Posiada dużą świadomość znaczenia i osiągnięć nowożytnej sztuki wojennej dla dalszego rozwoju Europy. Posiada znaczną wiedzę i świadomość oryginalnego polskiego wkładu w rozwój nowożytnej sztuki wojennej w Europie.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posiada ponad przeciętną świadomość różnic rozwojowych europejskiej sztuki wojennej w epoce nowożytnej. Posiada pełną świadomość znaczenia i osiągnięć nowożytnej sztuki wojennej dla dalszego rozwoju Europy. Posiada wszechstronną wiedzę i dużą świadomość oryginalnego polskiego wkładu w rozwój nowożytnej sztuki wojennej w Europie.       </w:t>
            </w:r>
          </w:p>
        </w:tc>
      </w:tr>
    </w:tbl>
    <w:p w:rsidR="00837907" w:rsidRDefault="00837907" w:rsidP="00837907">
      <w:pPr>
        <w:shd w:val="clear" w:color="auto" w:fill="FFFFFF"/>
        <w:jc w:val="both"/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837907" w:rsidRPr="00F077F6" w:rsidRDefault="00837907" w:rsidP="00837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  <w:lang w:val="en-US"/>
        </w:rPr>
        <w:t>Creveld</w:t>
      </w:r>
      <w:proofErr w:type="spellEnd"/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77F6">
        <w:rPr>
          <w:rFonts w:ascii="Times New Roman" w:hAnsi="Times New Roman"/>
          <w:sz w:val="24"/>
          <w:szCs w:val="24"/>
        </w:rPr>
        <w:t xml:space="preserve">Janas E., </w:t>
      </w:r>
      <w:proofErr w:type="spellStart"/>
      <w:r w:rsidRPr="00F077F6">
        <w:rPr>
          <w:rFonts w:ascii="Times New Roman" w:hAnsi="Times New Roman"/>
          <w:sz w:val="24"/>
          <w:szCs w:val="24"/>
        </w:rPr>
        <w:t>Kłaczewski</w:t>
      </w:r>
      <w:proofErr w:type="spellEnd"/>
      <w:r w:rsidRPr="00F077F6">
        <w:rPr>
          <w:rFonts w:ascii="Times New Roman" w:hAnsi="Times New Roman"/>
          <w:sz w:val="24"/>
          <w:szCs w:val="24"/>
        </w:rPr>
        <w:t xml:space="preserve"> W., </w:t>
      </w:r>
      <w:r w:rsidRPr="00F077F6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077F6">
        <w:rPr>
          <w:rFonts w:ascii="Times New Roman" w:hAnsi="Times New Roman"/>
          <w:sz w:val="24"/>
          <w:szCs w:val="24"/>
        </w:rPr>
        <w:t xml:space="preserve">, w: </w:t>
      </w:r>
      <w:r w:rsidRPr="00F077F6">
        <w:rPr>
          <w:rFonts w:ascii="Times New Roman" w:hAnsi="Times New Roman"/>
          <w:i/>
          <w:sz w:val="24"/>
          <w:szCs w:val="24"/>
        </w:rPr>
        <w:t>Działania militarne w Polsce południowo-wschodniej</w:t>
      </w:r>
      <w:r w:rsidRPr="00F077F6">
        <w:rPr>
          <w:rFonts w:ascii="Times New Roman" w:hAnsi="Times New Roman"/>
          <w:sz w:val="24"/>
          <w:szCs w:val="24"/>
        </w:rPr>
        <w:t xml:space="preserve">, red. </w:t>
      </w:r>
      <w:r w:rsidRPr="00F077F6">
        <w:rPr>
          <w:rFonts w:ascii="Times New Roman" w:hAnsi="Times New Roman"/>
          <w:sz w:val="24"/>
          <w:szCs w:val="24"/>
          <w:lang w:val="en-US"/>
        </w:rPr>
        <w:t xml:space="preserve">W. </w:t>
      </w:r>
      <w:proofErr w:type="spellStart"/>
      <w:r w:rsidRPr="00F077F6">
        <w:rPr>
          <w:rFonts w:ascii="Times New Roman" w:hAnsi="Times New Roman"/>
          <w:sz w:val="24"/>
          <w:szCs w:val="24"/>
          <w:lang w:val="en-US"/>
        </w:rPr>
        <w:t>Wróblewski</w:t>
      </w:r>
      <w:proofErr w:type="spellEnd"/>
      <w:r w:rsidRPr="00F077F6">
        <w:rPr>
          <w:rFonts w:ascii="Times New Roman" w:hAnsi="Times New Roman"/>
          <w:sz w:val="24"/>
          <w:szCs w:val="24"/>
          <w:lang w:val="en-US"/>
        </w:rPr>
        <w:t xml:space="preserve">, Warszawa 2000, s. 67-127.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  <w:lang w:val="en-US"/>
        </w:rPr>
        <w:lastRenderedPageBreak/>
        <w:t>Kaldor</w:t>
      </w:r>
      <w:proofErr w:type="spellEnd"/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077F6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077F6">
        <w:rPr>
          <w:rFonts w:ascii="Times New Roman" w:hAnsi="Times New Roman" w:cs="Times New Roman"/>
          <w:sz w:val="24"/>
          <w:szCs w:val="24"/>
        </w:rPr>
        <w:t xml:space="preserve">. </w:t>
      </w:r>
      <w:r w:rsidRPr="00F077F6">
        <w:rPr>
          <w:rFonts w:ascii="Times New Roman" w:hAnsi="Times New Roman" w:cs="Times New Roman"/>
          <w:i/>
          <w:sz w:val="24"/>
          <w:szCs w:val="24"/>
        </w:rPr>
        <w:t>Epoka przedrozbiorowa</w:t>
      </w:r>
      <w:r w:rsidRPr="00F077F6">
        <w:rPr>
          <w:rFonts w:ascii="Times New Roman" w:hAnsi="Times New Roman" w:cs="Times New Roman"/>
          <w:sz w:val="24"/>
          <w:szCs w:val="24"/>
        </w:rPr>
        <w:t>, t. II, Kraków 1912 (pozycja dostępna również jako reprint z 2003 r.)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M., </w:t>
      </w:r>
      <w:r w:rsidRPr="00F077F6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077F6">
        <w:rPr>
          <w:rFonts w:ascii="Times New Roman" w:hAnsi="Times New Roman" w:cs="Times New Roman"/>
          <w:sz w:val="24"/>
          <w:szCs w:val="24"/>
        </w:rPr>
        <w:t>, Londyn 1992.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Plewczyński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M.,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t. I, </w:t>
      </w:r>
      <w:r w:rsidRPr="00F077F6">
        <w:rPr>
          <w:rFonts w:ascii="Times New Roman" w:hAnsi="Times New Roman" w:cs="Times New Roman"/>
          <w:i/>
          <w:sz w:val="24"/>
          <w:szCs w:val="24"/>
        </w:rPr>
        <w:t>Lata 1500-1548</w:t>
      </w:r>
      <w:r w:rsidRPr="00F077F6">
        <w:rPr>
          <w:rFonts w:ascii="Times New Roman" w:hAnsi="Times New Roman" w:cs="Times New Roman"/>
          <w:sz w:val="24"/>
          <w:szCs w:val="24"/>
        </w:rPr>
        <w:t>, Zabrze 2011.</w:t>
      </w:r>
    </w:p>
    <w:p w:rsidR="00837907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>Sikorski J.,</w:t>
      </w:r>
      <w:r w:rsidRPr="00F077F6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077F6">
        <w:rPr>
          <w:rFonts w:ascii="Times New Roman" w:hAnsi="Times New Roman"/>
          <w:sz w:val="24"/>
          <w:szCs w:val="24"/>
        </w:rPr>
        <w:t>Warszawa 1975.</w:t>
      </w:r>
    </w:p>
    <w:p w:rsidR="00C32C5C" w:rsidRPr="00F077F6" w:rsidRDefault="00C32C5C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Działania asymetryczne w wojskowości tatarskiej we wczesnej epoce nowożytnej</w:t>
      </w:r>
      <w:r w:rsidRPr="00F077F6">
        <w:rPr>
          <w:rFonts w:ascii="Times New Roman" w:hAnsi="Times New Roman" w:cs="Times New Roman"/>
          <w:sz w:val="24"/>
          <w:szCs w:val="24"/>
        </w:rPr>
        <w:t>, „Zeszyty Naukowe Uniwersytetu Jagiellońskiego”, Prace Historyczne, Asymetryczne działania wojenne od starożytności po wiek XX, nr 143, z. 4, 2016, s. 703-735.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Uniwersały królewskie, hetmańskie i innych urzędników centralnych oraz ziemskich jako element przygotowań obronnych przed najazdami tatarskimi na Ruś Czerwoną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w: </w:t>
      </w:r>
      <w:r w:rsidRPr="00F077F6">
        <w:rPr>
          <w:rFonts w:ascii="Times New Roman" w:hAnsi="Times New Roman" w:cs="Times New Roman"/>
          <w:i/>
          <w:sz w:val="24"/>
          <w:szCs w:val="24"/>
        </w:rPr>
        <w:t xml:space="preserve">Inter </w:t>
      </w:r>
      <w:proofErr w:type="spellStart"/>
      <w:r w:rsidRPr="00F077F6">
        <w:rPr>
          <w:rFonts w:ascii="Times New Roman" w:hAnsi="Times New Roman" w:cs="Times New Roman"/>
          <w:i/>
          <w:sz w:val="24"/>
          <w:szCs w:val="24"/>
        </w:rPr>
        <w:t>maiestatemaclibertatem</w:t>
      </w:r>
      <w:proofErr w:type="spellEnd"/>
      <w:r w:rsidRPr="00F077F6">
        <w:rPr>
          <w:rFonts w:ascii="Times New Roman" w:hAnsi="Times New Roman" w:cs="Times New Roman"/>
          <w:i/>
          <w:sz w:val="24"/>
          <w:szCs w:val="24"/>
        </w:rPr>
        <w:t>. Studia z dziejów nowożytnych dedykowane Profesorowi Kazimierzowi Przybosiowi</w:t>
      </w:r>
      <w:r w:rsidRPr="00F077F6">
        <w:rPr>
          <w:rFonts w:ascii="Times New Roman" w:hAnsi="Times New Roman" w:cs="Times New Roman"/>
          <w:sz w:val="24"/>
          <w:szCs w:val="24"/>
        </w:rPr>
        <w:t xml:space="preserve">, Kraków 2010, s. 31-59. </w:t>
      </w:r>
    </w:p>
    <w:p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Horn M., </w:t>
      </w:r>
      <w:r w:rsidRPr="00F077F6">
        <w:rPr>
          <w:i/>
          <w:sz w:val="24"/>
          <w:szCs w:val="24"/>
        </w:rPr>
        <w:t>Chronologia i zasięg najazdów tatarskich na ziemie Rzeczypospolitej Polskiej w latach 1600-1647</w:t>
      </w:r>
      <w:r w:rsidRPr="00F077F6">
        <w:rPr>
          <w:sz w:val="24"/>
          <w:szCs w:val="24"/>
        </w:rPr>
        <w:t>, „Studia i Materiały do Historii Wojskowości”, t. VIII, cz. I, 1962, s. 3-71.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Horn M., </w:t>
      </w:r>
      <w:r w:rsidRPr="00F077F6">
        <w:rPr>
          <w:rFonts w:ascii="Times New Roman" w:hAnsi="Times New Roman" w:cs="Times New Roman"/>
          <w:i/>
          <w:sz w:val="24"/>
          <w:szCs w:val="24"/>
        </w:rPr>
        <w:t>Skutki ekonomiczne najazdów tatarskich z lat 1605-1633 na Ruś Czerwoną</w:t>
      </w:r>
      <w:r w:rsidRPr="00F07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7F6">
        <w:rPr>
          <w:rFonts w:ascii="Times New Roman" w:hAnsi="Times New Roman" w:cs="Times New Roman"/>
          <w:sz w:val="24"/>
          <w:szCs w:val="24"/>
        </w:rPr>
        <w:t>Wrocław-Warszawa-Kraków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1964.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Kotula F., </w:t>
      </w:r>
      <w:r w:rsidRPr="00F077F6">
        <w:rPr>
          <w:rFonts w:ascii="Times New Roman" w:hAnsi="Times New Roman" w:cs="Times New Roman"/>
          <w:i/>
          <w:sz w:val="24"/>
          <w:szCs w:val="24"/>
        </w:rPr>
        <w:t>Warownie chłopskie XVII w. w ziemi przemyskiej i sanockiej</w:t>
      </w:r>
      <w:r w:rsidRPr="00F077F6">
        <w:rPr>
          <w:rFonts w:ascii="Times New Roman" w:hAnsi="Times New Roman" w:cs="Times New Roman"/>
          <w:sz w:val="24"/>
          <w:szCs w:val="24"/>
        </w:rPr>
        <w:t>, „Studia i Materiały do Historii Wojskowości”, t. VIII, cz. 1, 1962, s. 93-138.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Kupisz D., </w:t>
      </w:r>
      <w:r w:rsidRPr="00F077F6">
        <w:rPr>
          <w:rFonts w:ascii="Times New Roman" w:hAnsi="Times New Roman" w:cs="Times New Roman"/>
          <w:i/>
          <w:sz w:val="24"/>
          <w:szCs w:val="24"/>
        </w:rPr>
        <w:t>Wojska powiatowe samorządów Małopolski i Rusi Czerwonej w latach 1572-1717</w:t>
      </w:r>
      <w:r w:rsidRPr="00F077F6">
        <w:rPr>
          <w:rFonts w:ascii="Times New Roman" w:hAnsi="Times New Roman" w:cs="Times New Roman"/>
          <w:sz w:val="24"/>
          <w:szCs w:val="24"/>
        </w:rPr>
        <w:t xml:space="preserve">, Lublin 2008.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Majewski R., </w:t>
      </w:r>
      <w:r w:rsidRPr="00F077F6">
        <w:rPr>
          <w:rFonts w:ascii="Times New Roman" w:hAnsi="Times New Roman" w:cs="Times New Roman"/>
          <w:i/>
          <w:sz w:val="24"/>
          <w:szCs w:val="24"/>
        </w:rPr>
        <w:t>Z problematyki walk z Tatarami w pierwszej połowie XVII wieku</w:t>
      </w:r>
      <w:r w:rsidRPr="00F077F6">
        <w:rPr>
          <w:rFonts w:ascii="Times New Roman" w:hAnsi="Times New Roman" w:cs="Times New Roman"/>
          <w:sz w:val="24"/>
          <w:szCs w:val="24"/>
        </w:rPr>
        <w:t>, „Śląski Kwartalnik Historyczny Sobótka”, t. 30, nr 2, 1975, s. 231-241.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Maroń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J., </w:t>
      </w:r>
      <w:r w:rsidRPr="00F077F6">
        <w:rPr>
          <w:rFonts w:ascii="Times New Roman" w:hAnsi="Times New Roman" w:cs="Times New Roman"/>
          <w:i/>
          <w:sz w:val="24"/>
          <w:szCs w:val="24"/>
        </w:rPr>
        <w:t>Wokół teorii rewolucji militarnej. Wybrane problemy</w:t>
      </w:r>
      <w:r w:rsidRPr="00F077F6">
        <w:rPr>
          <w:rFonts w:ascii="Times New Roman" w:hAnsi="Times New Roman" w:cs="Times New Roman"/>
          <w:sz w:val="24"/>
          <w:szCs w:val="24"/>
        </w:rPr>
        <w:t>, Wrocław 2011.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May T., </w:t>
      </w:r>
      <w:r w:rsidRPr="00F077F6">
        <w:rPr>
          <w:rFonts w:ascii="Times New Roman" w:hAnsi="Times New Roman"/>
          <w:i/>
          <w:sz w:val="24"/>
          <w:szCs w:val="24"/>
        </w:rPr>
        <w:t>Najazdy Mongołów</w:t>
      </w:r>
      <w:r w:rsidRPr="00F077F6">
        <w:rPr>
          <w:rFonts w:ascii="Times New Roman" w:hAnsi="Times New Roman"/>
          <w:sz w:val="24"/>
          <w:szCs w:val="24"/>
        </w:rPr>
        <w:t xml:space="preserve">, Warszawa 2010. 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Münkler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H.,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Pr="00F077F6">
        <w:rPr>
          <w:rFonts w:ascii="Times New Roman" w:hAnsi="Times New Roman" w:cs="Times New Roman"/>
          <w:sz w:val="24"/>
          <w:szCs w:val="24"/>
        </w:rPr>
        <w:t>, przekł. K. Matuszek, Kraków 2004, s. 7-45.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T.M., </w:t>
      </w:r>
      <w:r w:rsidRPr="00F077F6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077F6">
        <w:rPr>
          <w:rFonts w:ascii="Times New Roman" w:hAnsi="Times New Roman"/>
          <w:sz w:val="24"/>
          <w:szCs w:val="24"/>
        </w:rPr>
        <w:t>, Warszawa 2006.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T., </w:t>
      </w:r>
      <w:r w:rsidRPr="00F077F6">
        <w:rPr>
          <w:rFonts w:ascii="Times New Roman" w:hAnsi="Times New Roman"/>
          <w:i/>
          <w:sz w:val="24"/>
          <w:szCs w:val="24"/>
        </w:rPr>
        <w:t>Z dziejów techniki wojennej w dawnej Polsce</w:t>
      </w:r>
      <w:r w:rsidRPr="00F077F6">
        <w:rPr>
          <w:rFonts w:ascii="Times New Roman" w:hAnsi="Times New Roman"/>
          <w:sz w:val="24"/>
          <w:szCs w:val="24"/>
        </w:rPr>
        <w:t>, Warszawa 1965.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Olejnik K., </w:t>
      </w:r>
      <w:r w:rsidRPr="00F077F6">
        <w:rPr>
          <w:rFonts w:ascii="Times New Roman" w:hAnsi="Times New Roman"/>
          <w:i/>
          <w:sz w:val="24"/>
          <w:szCs w:val="24"/>
        </w:rPr>
        <w:t>Rozwój polskiej myśli wojskowej do końca XVII w</w:t>
      </w:r>
      <w:r w:rsidRPr="00F077F6">
        <w:rPr>
          <w:rFonts w:ascii="Times New Roman" w:hAnsi="Times New Roman"/>
          <w:sz w:val="24"/>
          <w:szCs w:val="24"/>
        </w:rPr>
        <w:t>., Poznań 1976.</w:t>
      </w:r>
    </w:p>
    <w:p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Pilarczyk Z., </w:t>
      </w:r>
      <w:r w:rsidRPr="00F077F6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 w:rsidRPr="00F077F6">
        <w:rPr>
          <w:rFonts w:ascii="Times New Roman" w:hAnsi="Times New Roman"/>
          <w:sz w:val="24"/>
          <w:szCs w:val="24"/>
        </w:rPr>
        <w:t>, Poznań 1997.</w:t>
      </w:r>
    </w:p>
    <w:p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Wierzbicki L. A., </w:t>
      </w:r>
      <w:r w:rsidRPr="00F077F6">
        <w:rPr>
          <w:i/>
          <w:sz w:val="24"/>
          <w:szCs w:val="24"/>
        </w:rPr>
        <w:t>Pospolite ruszenie w Polsce w drugiej połowie XVII wieku</w:t>
      </w:r>
      <w:r w:rsidRPr="00F077F6">
        <w:rPr>
          <w:sz w:val="24"/>
          <w:szCs w:val="24"/>
        </w:rPr>
        <w:t>, Lublin 2011.</w:t>
      </w:r>
    </w:p>
    <w:p w:rsidR="00837907" w:rsidRPr="00F077F6" w:rsidRDefault="00837907" w:rsidP="00837907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837907" w:rsidRDefault="00837907" w:rsidP="00837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701"/>
        <w:gridCol w:w="1559"/>
        <w:gridCol w:w="1701"/>
      </w:tblGrid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837907" w:rsidRDefault="00837907" w:rsidP="00187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A60CA8" w:rsidP="00A60C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A60CA8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A60CA8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BC2649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1434F5" w:rsidRDefault="00837907" w:rsidP="00187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3790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83790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837907" w:rsidTr="0018780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:rsidR="00837907" w:rsidRDefault="00837907" w:rsidP="00837907">
      <w:pPr>
        <w:shd w:val="clear" w:color="auto" w:fill="FFFFFF"/>
        <w:jc w:val="both"/>
      </w:pP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A40D1" w:rsidRDefault="00837907" w:rsidP="002A4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sz w:val="24"/>
          <w:szCs w:val="24"/>
        </w:rPr>
        <w:t>dr Irena Kozimala</w:t>
      </w:r>
    </w:p>
    <w:p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E191E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sectPr w:rsidR="0083790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50" w:rsidRDefault="00AE3250" w:rsidP="008F014E">
      <w:pPr>
        <w:spacing w:after="0" w:line="240" w:lineRule="auto"/>
      </w:pPr>
      <w:r>
        <w:separator/>
      </w:r>
    </w:p>
  </w:endnote>
  <w:endnote w:type="continuationSeparator" w:id="0">
    <w:p w:rsidR="00AE3250" w:rsidRDefault="00AE3250" w:rsidP="008F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99969"/>
      <w:docPartObj>
        <w:docPartGallery w:val="Page Numbers (Bottom of Page)"/>
        <w:docPartUnique/>
      </w:docPartObj>
    </w:sdtPr>
    <w:sdtContent>
      <w:p w:rsidR="008F014E" w:rsidRDefault="00460BF6">
        <w:pPr>
          <w:pStyle w:val="Stopka"/>
        </w:pPr>
        <w:fldSimple w:instr=" PAGE   \* MERGEFORMAT ">
          <w:r w:rsidR="002A40D1">
            <w:rPr>
              <w:noProof/>
            </w:rPr>
            <w:t>9</w:t>
          </w:r>
        </w:fldSimple>
      </w:p>
    </w:sdtContent>
  </w:sdt>
  <w:p w:rsidR="008F014E" w:rsidRDefault="008F01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50" w:rsidRDefault="00AE3250" w:rsidP="008F014E">
      <w:pPr>
        <w:spacing w:after="0" w:line="240" w:lineRule="auto"/>
      </w:pPr>
      <w:r>
        <w:separator/>
      </w:r>
    </w:p>
  </w:footnote>
  <w:footnote w:type="continuationSeparator" w:id="0">
    <w:p w:rsidR="00AE3250" w:rsidRDefault="00AE3250" w:rsidP="008F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C7D"/>
    <w:rsid w:val="001A41E6"/>
    <w:rsid w:val="001B40E7"/>
    <w:rsid w:val="001B615F"/>
    <w:rsid w:val="00212477"/>
    <w:rsid w:val="00214DBC"/>
    <w:rsid w:val="00251AF1"/>
    <w:rsid w:val="002A40D1"/>
    <w:rsid w:val="0033167C"/>
    <w:rsid w:val="00352846"/>
    <w:rsid w:val="00352D13"/>
    <w:rsid w:val="00363EED"/>
    <w:rsid w:val="0037019E"/>
    <w:rsid w:val="003E07C3"/>
    <w:rsid w:val="00433F0C"/>
    <w:rsid w:val="00460BF6"/>
    <w:rsid w:val="00461668"/>
    <w:rsid w:val="00462441"/>
    <w:rsid w:val="004B3266"/>
    <w:rsid w:val="004E4FA3"/>
    <w:rsid w:val="004F5D43"/>
    <w:rsid w:val="004F6E05"/>
    <w:rsid w:val="004F77A7"/>
    <w:rsid w:val="00514C7D"/>
    <w:rsid w:val="0052333E"/>
    <w:rsid w:val="00530E02"/>
    <w:rsid w:val="005E3F48"/>
    <w:rsid w:val="00616D5F"/>
    <w:rsid w:val="00637948"/>
    <w:rsid w:val="00645C6F"/>
    <w:rsid w:val="00663DC7"/>
    <w:rsid w:val="0070003A"/>
    <w:rsid w:val="00707E98"/>
    <w:rsid w:val="00717AF3"/>
    <w:rsid w:val="00740B68"/>
    <w:rsid w:val="007D309A"/>
    <w:rsid w:val="007E3B64"/>
    <w:rsid w:val="007E6289"/>
    <w:rsid w:val="00815276"/>
    <w:rsid w:val="00832876"/>
    <w:rsid w:val="00837907"/>
    <w:rsid w:val="008457E6"/>
    <w:rsid w:val="00847585"/>
    <w:rsid w:val="00857057"/>
    <w:rsid w:val="00877951"/>
    <w:rsid w:val="008E191E"/>
    <w:rsid w:val="008F014E"/>
    <w:rsid w:val="009615CA"/>
    <w:rsid w:val="00991C73"/>
    <w:rsid w:val="009B2324"/>
    <w:rsid w:val="009D6361"/>
    <w:rsid w:val="00A57667"/>
    <w:rsid w:val="00A60CA8"/>
    <w:rsid w:val="00AD73ED"/>
    <w:rsid w:val="00AE3250"/>
    <w:rsid w:val="00AE4C0C"/>
    <w:rsid w:val="00B31018"/>
    <w:rsid w:val="00B5536B"/>
    <w:rsid w:val="00B90D92"/>
    <w:rsid w:val="00B96685"/>
    <w:rsid w:val="00BB2759"/>
    <w:rsid w:val="00BB2F4F"/>
    <w:rsid w:val="00BC11CE"/>
    <w:rsid w:val="00BC2649"/>
    <w:rsid w:val="00BF0542"/>
    <w:rsid w:val="00C06819"/>
    <w:rsid w:val="00C25D9B"/>
    <w:rsid w:val="00C32C5C"/>
    <w:rsid w:val="00C46B2C"/>
    <w:rsid w:val="00C727B5"/>
    <w:rsid w:val="00C76976"/>
    <w:rsid w:val="00C87E43"/>
    <w:rsid w:val="00C94EDA"/>
    <w:rsid w:val="00CC5EE4"/>
    <w:rsid w:val="00CD3195"/>
    <w:rsid w:val="00CE0651"/>
    <w:rsid w:val="00D20640"/>
    <w:rsid w:val="00D238E4"/>
    <w:rsid w:val="00DA3852"/>
    <w:rsid w:val="00E521BF"/>
    <w:rsid w:val="00E9107C"/>
    <w:rsid w:val="00E9394E"/>
    <w:rsid w:val="00EC6278"/>
    <w:rsid w:val="00F00C51"/>
    <w:rsid w:val="00F47D1A"/>
    <w:rsid w:val="00F52858"/>
    <w:rsid w:val="00F57217"/>
    <w:rsid w:val="00F613F2"/>
    <w:rsid w:val="00F62593"/>
    <w:rsid w:val="00F9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01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14E"/>
  </w:style>
  <w:style w:type="paragraph" w:styleId="Stopka">
    <w:name w:val="footer"/>
    <w:basedOn w:val="Normalny"/>
    <w:link w:val="StopkaZnak"/>
    <w:uiPriority w:val="99"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ELA</cp:lastModifiedBy>
  <cp:revision>70</cp:revision>
  <dcterms:created xsi:type="dcterms:W3CDTF">2019-08-28T21:58:00Z</dcterms:created>
  <dcterms:modified xsi:type="dcterms:W3CDTF">2021-03-23T13:09:00Z</dcterms:modified>
</cp:coreProperties>
</file>