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AE6C7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7098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Język łaciński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F84F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AE6C7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633E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E6C7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5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447535" w:rsidRDefault="00447535" w:rsidP="000F0A27">
      <w:pPr>
        <w:rPr>
          <w:rFonts w:ascii="Times New Roman" w:hAnsi="Times New Roman"/>
          <w:b/>
          <w:sz w:val="24"/>
          <w:szCs w:val="24"/>
        </w:rPr>
      </w:pPr>
    </w:p>
    <w:p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1 – student zna </w:t>
      </w:r>
      <w:r w:rsidR="00AE6C71" w:rsidRPr="00447535">
        <w:rPr>
          <w:rFonts w:ascii="Times New Roman" w:hAnsi="Times New Roman" w:cs="Times New Roman"/>
          <w:kern w:val="24"/>
          <w:sz w:val="24"/>
          <w:szCs w:val="24"/>
        </w:rPr>
        <w:t>podstawowy zasób leksykalny terminów łacińskich</w:t>
      </w:r>
    </w:p>
    <w:p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2 – student zna podstawowe zasady gramatyczne języka łacińskiego,</w:t>
      </w:r>
    </w:p>
    <w:p w:rsidR="00AE6C71" w:rsidRPr="00447535" w:rsidRDefault="00F84FA8" w:rsidP="00AE6C71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3 – student posiada umiejętność tłumaczenia tekstów łacińskich</w:t>
      </w:r>
      <w:r w:rsidR="00447535" w:rsidRPr="00447535">
        <w:rPr>
          <w:rFonts w:ascii="Times New Roman" w:hAnsi="Times New Roman" w:cs="Times New Roman"/>
          <w:sz w:val="24"/>
          <w:szCs w:val="24"/>
        </w:rPr>
        <w:t xml:space="preserve"> i objaśniania syntaksy zdania łacińskiego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 (z</w:t>
      </w:r>
      <w:r w:rsidR="00AE6C71" w:rsidRPr="00447535">
        <w:rPr>
          <w:rFonts w:ascii="Times New Roman" w:hAnsi="Times New Roman" w:cs="Times New Roman"/>
          <w:bCs/>
          <w:sz w:val="24"/>
          <w:szCs w:val="24"/>
        </w:rPr>
        <w:t>ajęcia w wymiarze praktycznym ukazują, że tłumaczenie jest procesem interpretacyjnym, na podstawie różnorodnych tekstów łacińskich pokazuje się problemy interpretacyjne i kontekstualne, które dotyczą możliwie najszerszych aspektów działalności ludzkiej w epoce antycznej i średniowiecznej),</w:t>
      </w:r>
    </w:p>
    <w:p w:rsidR="00AE6C71" w:rsidRPr="00447535" w:rsidRDefault="00AE6C71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ma podstawową wiedzę z zakresu fleksji i syntaktyki języka polskiego.</w:t>
      </w:r>
    </w:p>
    <w:p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zna nazwy przypadków i pytania do nich w języku polskim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D31BB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877F7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metody badawcze i narzędzia warsztatu historyka właściwe dla tłumaczenia i interpretacji tekstów źródłowych z epoki antyku i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posiada podstawowy zasób leksykalny terminów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EF5A0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zna </w:t>
            </w:r>
            <w:r w:rsidR="00EF5A0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podstawowe zasady gramatyczne języka łacińskiego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potrafi tłumaczyć i objaśniać 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syntaksę zdania łacińskiego prostych preparowanych tekstów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potrafi tłumaczyć, objaśniać i wykorzystać w badaniach teksty źródłowe w języku łacińskim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F7" w:rsidRPr="003212E0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3877F7" w:rsidRDefault="003877F7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Historia języka łacińskiego od epoki antycznej po XX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Alfabet łaciński i rodzaje pisma.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Varsowia</w:t>
            </w:r>
            <w:proofErr w:type="spellEnd"/>
            <w:r w:rsidRPr="00CB7098">
              <w:rPr>
                <w:sz w:val="22"/>
                <w:szCs w:val="22"/>
              </w:rPr>
              <w:t xml:space="preserve">”. Deklinacja I.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Polonia, </w:t>
            </w:r>
            <w:proofErr w:type="spellStart"/>
            <w:r w:rsidRPr="00C8003C">
              <w:rPr>
                <w:i/>
                <w:sz w:val="22"/>
                <w:szCs w:val="22"/>
              </w:rPr>
              <w:t>patria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nostra</w:t>
            </w:r>
            <w:proofErr w:type="spellEnd"/>
            <w:r w:rsidRPr="00CB7098">
              <w:rPr>
                <w:sz w:val="22"/>
                <w:szCs w:val="22"/>
              </w:rPr>
              <w:t xml:space="preserve">”. Deklinacja II. Wyjątki deklinacji I </w:t>
            </w:r>
            <w:proofErr w:type="spellStart"/>
            <w:r w:rsidRPr="00CB7098">
              <w:rPr>
                <w:sz w:val="22"/>
                <w:szCs w:val="22"/>
              </w:rPr>
              <w:t>i</w:t>
            </w:r>
            <w:proofErr w:type="spellEnd"/>
            <w:r w:rsidRPr="00CB7098">
              <w:rPr>
                <w:sz w:val="22"/>
                <w:szCs w:val="22"/>
              </w:rPr>
              <w:t xml:space="preserve"> II. Odmiana przymiotnika I </w:t>
            </w:r>
            <w:proofErr w:type="spellStart"/>
            <w:r w:rsidRPr="00CB7098">
              <w:rPr>
                <w:sz w:val="22"/>
                <w:szCs w:val="22"/>
              </w:rPr>
              <w:t>i</w:t>
            </w:r>
            <w:proofErr w:type="spellEnd"/>
            <w:r w:rsidRPr="00CB7098">
              <w:rPr>
                <w:sz w:val="22"/>
                <w:szCs w:val="22"/>
              </w:rPr>
              <w:t xml:space="preserve"> II deklinacji. Odmiana sum, </w:t>
            </w:r>
            <w:proofErr w:type="spellStart"/>
            <w:r w:rsidRPr="00CB7098">
              <w:rPr>
                <w:sz w:val="22"/>
                <w:szCs w:val="22"/>
              </w:rPr>
              <w:t>esse</w:t>
            </w:r>
            <w:proofErr w:type="spellEnd"/>
            <w:r w:rsidRPr="00CB7098">
              <w:rPr>
                <w:sz w:val="22"/>
                <w:szCs w:val="22"/>
              </w:rPr>
              <w:t xml:space="preserve">. Złożenia z czasownikiem </w:t>
            </w:r>
            <w:proofErr w:type="spellStart"/>
            <w:r w:rsidRPr="00CB7098">
              <w:rPr>
                <w:sz w:val="22"/>
                <w:szCs w:val="22"/>
              </w:rPr>
              <w:t>esse</w:t>
            </w:r>
            <w:proofErr w:type="spellEnd"/>
            <w:r w:rsidRPr="00CB709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proofErr w:type="spellStart"/>
            <w:r w:rsidRPr="00C8003C">
              <w:rPr>
                <w:i/>
                <w:sz w:val="22"/>
                <w:szCs w:val="22"/>
              </w:rPr>
              <w:t>Rarus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fortuna </w:t>
            </w:r>
            <w:proofErr w:type="spellStart"/>
            <w:r w:rsidRPr="00C8003C">
              <w:rPr>
                <w:i/>
                <w:sz w:val="22"/>
                <w:szCs w:val="22"/>
              </w:rPr>
              <w:t>sua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contentus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nautis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i/>
                <w:sz w:val="22"/>
                <w:szCs w:val="22"/>
              </w:rPr>
              <w:t>agricolis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 xml:space="preserve">Indicativus imperfecti activi I-IV koniugacji oraz czasownika esse. </w:t>
            </w:r>
            <w:proofErr w:type="spellStart"/>
            <w:r w:rsidRPr="00CB7098">
              <w:rPr>
                <w:sz w:val="22"/>
                <w:szCs w:val="22"/>
              </w:rPr>
              <w:t>Pronomina</w:t>
            </w:r>
            <w:proofErr w:type="spellEnd"/>
            <w:r w:rsidRPr="00CB7098">
              <w:rPr>
                <w:sz w:val="22"/>
                <w:szCs w:val="22"/>
              </w:rPr>
              <w:t xml:space="preserve"> personalia i </w:t>
            </w:r>
            <w:proofErr w:type="spellStart"/>
            <w:r w:rsidRPr="00CB7098">
              <w:rPr>
                <w:sz w:val="22"/>
                <w:szCs w:val="22"/>
              </w:rPr>
              <w:t>possessiva</w:t>
            </w:r>
            <w:proofErr w:type="spellEnd"/>
            <w:r w:rsidRPr="00CB7098">
              <w:rPr>
                <w:sz w:val="22"/>
                <w:szCs w:val="22"/>
              </w:rPr>
              <w:t xml:space="preserve"> (zaimki osobowe i dzierżawcze).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bellis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futuri primi activi I-IV koniugacji oraz czasownika esse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castris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Romanis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praesentis passivi I-IV koniugacji. Indicativus imperfecti passivi I-IV koniugacji. Indicativus futuri 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Romanorum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nominibus</w:t>
            </w:r>
            <w:proofErr w:type="spellEnd"/>
            <w:r w:rsidRPr="00CB7098">
              <w:rPr>
                <w:sz w:val="22"/>
                <w:szCs w:val="22"/>
              </w:rPr>
              <w:t>”. Typy odmian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Marco Tullio Cicerone</w:t>
            </w:r>
            <w:r w:rsidRPr="00CB7098">
              <w:rPr>
                <w:sz w:val="22"/>
                <w:szCs w:val="22"/>
              </w:rPr>
              <w:t>”. Podtyp spółgłoskowy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plebeiis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C8003C">
              <w:rPr>
                <w:i/>
                <w:sz w:val="22"/>
                <w:szCs w:val="22"/>
              </w:rPr>
              <w:t>patriciis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i/>
                <w:sz w:val="22"/>
                <w:szCs w:val="22"/>
              </w:rPr>
              <w:t>vexatis</w:t>
            </w:r>
            <w:proofErr w:type="spellEnd"/>
            <w:r w:rsidRPr="00CB7098">
              <w:rPr>
                <w:sz w:val="22"/>
                <w:szCs w:val="22"/>
              </w:rPr>
              <w:t>”. Podtyp samogłoskowy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urbe</w:t>
            </w:r>
            <w:proofErr w:type="spellEnd"/>
            <w:r w:rsidRPr="00C8003C">
              <w:rPr>
                <w:i/>
                <w:sz w:val="22"/>
                <w:szCs w:val="22"/>
              </w:rPr>
              <w:t xml:space="preserve"> Roma</w:t>
            </w:r>
            <w:r w:rsidRPr="00CB7098">
              <w:rPr>
                <w:sz w:val="22"/>
                <w:szCs w:val="22"/>
              </w:rPr>
              <w:t xml:space="preserve">”, „De </w:t>
            </w:r>
            <w:proofErr w:type="spellStart"/>
            <w:r w:rsidRPr="00CB7098">
              <w:rPr>
                <w:sz w:val="22"/>
                <w:szCs w:val="22"/>
              </w:rPr>
              <w:t>Homeri</w:t>
            </w:r>
            <w:proofErr w:type="spellEnd"/>
            <w:r w:rsidRPr="00CB7098">
              <w:rPr>
                <w:sz w:val="22"/>
                <w:szCs w:val="22"/>
              </w:rPr>
              <w:t xml:space="preserve"> </w:t>
            </w:r>
            <w:proofErr w:type="spellStart"/>
            <w:r w:rsidRPr="00CB7098">
              <w:rPr>
                <w:sz w:val="22"/>
                <w:szCs w:val="22"/>
              </w:rPr>
              <w:t>carminibus</w:t>
            </w:r>
            <w:proofErr w:type="spellEnd"/>
            <w:r w:rsidRPr="00CB7098">
              <w:rPr>
                <w:sz w:val="22"/>
                <w:szCs w:val="22"/>
              </w:rPr>
              <w:t>”. Podtyp mieszany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Daedalo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Icaro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Odmiana przymiotników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gladiatoribus</w:t>
            </w:r>
            <w:proofErr w:type="spellEnd"/>
            <w:r w:rsidRPr="00CB7098">
              <w:rPr>
                <w:sz w:val="22"/>
                <w:szCs w:val="22"/>
              </w:rPr>
              <w:t xml:space="preserve">”. Participium </w:t>
            </w:r>
            <w:r w:rsidRPr="00CB7098">
              <w:rPr>
                <w:sz w:val="22"/>
                <w:szCs w:val="22"/>
                <w:lang w:val="it-IT"/>
              </w:rPr>
              <w:t>praesentis activi.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Lacedaemoniis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Zaimek względny qui,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quod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. Zaimek wskazujący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, 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exercitu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victore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Re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publica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Romana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amicitia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lupo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capra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Pronomina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demonstrativa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(zaimki wskazujące).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Artemisia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uxore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fideli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Indicativus plusquamperfecti activi I-IV koniugacji. Indicativus futuri II activi I-IV koniugacji.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duplex.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Magister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discipuli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Supinum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Participium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3877F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Androcli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cum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leone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amicitia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perfecti, plusquamperfecti i futuri II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Alexandro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Magno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asini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domino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callido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passivi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cum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i/>
                <w:sz w:val="22"/>
                <w:szCs w:val="22"/>
              </w:rPr>
              <w:t>Themistocle</w:t>
            </w:r>
            <w:proofErr w:type="spellEnd"/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Coniunctivus praesentis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Koniunktiwy w zdaniach głównych (semantyczna funkcja koniunktiwów).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Sententiae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Livius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Ab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Urbe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condita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Florus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Epitome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Caesar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bello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Gallico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Horatius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Carminae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oryginalnego tekstu Cicero „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Tusculanae</w:t>
            </w:r>
            <w:proofErr w:type="spellEnd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disputationes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Dokument lokacyjny Przemyśla z 1389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Dokumenty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lokacyjne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wybranych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miejscowości</w:t>
            </w:r>
            <w:proofErr w:type="spellEnd"/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7F7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DA26D3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7" w:rsidRPr="00CB7098" w:rsidRDefault="00C57122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877F7" w:rsidRPr="00CB7098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877F7" w:rsidRPr="00CB7098">
              <w:rPr>
                <w:rFonts w:ascii="Times New Roman" w:hAnsi="Times New Roman" w:cs="Times New Roman"/>
                <w:noProof/>
                <w:sz w:val="22"/>
                <w:szCs w:val="22"/>
              </w:rPr>
              <w:t>60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212E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1A23F5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323F08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212E0" w:rsidRDefault="00EF5A00" w:rsidP="003212E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</w:t>
            </w:r>
            <w:r w:rsidR="003212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689"/>
      </w:tblGrid>
      <w:tr w:rsidR="000F0A2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212E0" w:rsidP="003212E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</w:t>
            </w:r>
            <w:r w:rsidR="00EF5A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praca pod kierunkiem: tłumaczenie tekstów i objaśnianie zasad gramatycznych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0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A00" w:rsidRPr="001A23F5" w:rsidRDefault="00EF5A0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00" w:rsidRPr="001A23F5" w:rsidRDefault="00EF5A00" w:rsidP="00DA2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3C1F6B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Przygotowanie tłumaczenia tekstów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</w:t>
            </w:r>
            <w:r w:rsidR="00CA51D4">
              <w:rPr>
                <w:rFonts w:ascii="Times New Roman" w:hAnsi="Times New Roman"/>
                <w:sz w:val="24"/>
                <w:szCs w:val="24"/>
              </w:rPr>
              <w:t>ktywność na zajęciach</w:t>
            </w:r>
          </w:p>
        </w:tc>
      </w:tr>
      <w:tr w:rsidR="003212E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E0" w:rsidRPr="001A23F5" w:rsidRDefault="003212E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E0" w:rsidRDefault="003212E0" w:rsidP="003C1F6B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F6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3C1F6B">
              <w:rPr>
                <w:rFonts w:ascii="Times New Roman" w:hAnsi="Times New Roman"/>
                <w:sz w:val="24"/>
                <w:szCs w:val="24"/>
              </w:rPr>
              <w:t>F1-F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3C1F6B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3C1F6B" w:rsidRPr="00852676" w:rsidRDefault="003C1F6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852676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852676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852676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3C1F6B" w:rsidRPr="00852676" w:rsidRDefault="003C1F6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852676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852676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:rsidR="003C1F6B" w:rsidRPr="00744D05" w:rsidRDefault="00BA6D14" w:rsidP="00744D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2D09F1" w:rsidRDefault="000320C6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poważnymi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2D09F1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 w:rsidR="002D09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awansowa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0C6" w:rsidRDefault="00D47ABF" w:rsidP="00D47AB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Zawsze jest przygotowany do zajęć i aktywnie w nich uczestniczy.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393FCF"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D26C9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D26C93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D26C9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dobrym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znacznie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ponad przeciętnie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Podstawowa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Jurewicz O., Winniczuk L., Żuławska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Język łaciński. Podręcznik dla lektoratów szkół wyższych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kern w:val="24"/>
          <w:sz w:val="22"/>
          <w:szCs w:val="22"/>
        </w:rPr>
        <w:t>Kumaniecki</w:t>
      </w:r>
      <w:proofErr w:type="spellEnd"/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 K.,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Słownik łacińsko-polski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Uzupełniająca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:rsidR="00393FCF" w:rsidRPr="00EE6603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EE6603">
        <w:rPr>
          <w:rFonts w:ascii="Times New Roman" w:hAnsi="Times New Roman" w:cs="Times New Roman"/>
          <w:kern w:val="24"/>
          <w:sz w:val="22"/>
          <w:szCs w:val="22"/>
        </w:rPr>
        <w:t>Samolewicz</w:t>
      </w:r>
      <w:proofErr w:type="spellEnd"/>
      <w:r w:rsidRPr="00EE6603">
        <w:rPr>
          <w:rFonts w:ascii="Times New Roman" w:hAnsi="Times New Roman" w:cs="Times New Roman"/>
          <w:kern w:val="24"/>
          <w:sz w:val="22"/>
          <w:szCs w:val="22"/>
        </w:rPr>
        <w:t xml:space="preserve"> Z., </w:t>
      </w:r>
      <w:r w:rsidRPr="00EE6603">
        <w:rPr>
          <w:rFonts w:ascii="Times New Roman" w:hAnsi="Times New Roman" w:cs="Times New Roman"/>
          <w:i/>
          <w:kern w:val="24"/>
          <w:sz w:val="22"/>
          <w:szCs w:val="22"/>
        </w:rPr>
        <w:t>Składnia łacińska</w:t>
      </w:r>
      <w:r w:rsidRPr="00EE6603">
        <w:rPr>
          <w:rFonts w:ascii="Times New Roman" w:hAnsi="Times New Roman" w:cs="Times New Roman"/>
          <w:kern w:val="24"/>
          <w:sz w:val="22"/>
          <w:szCs w:val="22"/>
        </w:rPr>
        <w:t>, Bydgoszcz 2002</w:t>
      </w:r>
    </w:p>
    <w:p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łaciny średniowiecznej w Polsce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>, t. 1-8, Kraków 1953-2011.</w:t>
      </w:r>
    </w:p>
    <w:p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color w:val="000000"/>
          <w:sz w:val="22"/>
          <w:szCs w:val="22"/>
        </w:rPr>
        <w:t>Sondel</w:t>
      </w:r>
      <w:proofErr w:type="spellEnd"/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 J., </w:t>
      </w: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łacińsko-polski dla prawników i historyków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, Warszawa 2001(lub </w:t>
      </w:r>
      <w:proofErr w:type="spellStart"/>
      <w:r w:rsidRPr="00CB7098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.). </w:t>
      </w:r>
    </w:p>
    <w:p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proofErr w:type="spellStart"/>
      <w:r w:rsidRPr="00CB7098">
        <w:rPr>
          <w:rFonts w:ascii="Times New Roman" w:hAnsi="Times New Roman" w:cs="Times New Roman"/>
          <w:kern w:val="24"/>
          <w:sz w:val="22"/>
          <w:szCs w:val="22"/>
        </w:rPr>
        <w:t>Wikarjak</w:t>
      </w:r>
      <w:proofErr w:type="spellEnd"/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Gramatyka opisowa języka łacińskiego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1992.</w:t>
      </w:r>
    </w:p>
    <w:p w:rsidR="00393FCF" w:rsidRDefault="00393FC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3212E0" w:rsidRDefault="003212E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47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393F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93FCF" w:rsidP="00447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3212E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C_27-33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447535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393FCF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64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B1148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212E0" w:rsidP="00B114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60</w:t>
            </w:r>
            <w:r w:rsidR="00B1148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+4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</w:tbl>
    <w:p w:rsidR="000F0A27" w:rsidRPr="00F84F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507795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724336" w:rsidRDefault="00F84FA8" w:rsidP="007243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F84FA8" w:rsidRDefault="00F84FA8" w:rsidP="00F84FA8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4FA8" w:rsidRDefault="00F84FA8" w:rsidP="00F84F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A8" w:rsidRDefault="00F84FA8" w:rsidP="00F84FA8">
      <w:r>
        <w:rPr>
          <w:rFonts w:ascii="Times New Roman" w:hAnsi="Times New Roman" w:cs="Times New Roman"/>
          <w:sz w:val="24"/>
          <w:szCs w:val="24"/>
        </w:rPr>
        <w:lastRenderedPageBreak/>
        <w:t xml:space="preserve">Przemyśl, dnia </w:t>
      </w:r>
      <w:r w:rsidR="00507795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sectPr w:rsidR="00F84FA8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FB" w:rsidRDefault="004D7DFB" w:rsidP="00050D6E">
      <w:r>
        <w:separator/>
      </w:r>
    </w:p>
  </w:endnote>
  <w:endnote w:type="continuationSeparator" w:id="0">
    <w:p w:rsidR="004D7DFB" w:rsidRDefault="004D7DFB" w:rsidP="0005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047"/>
      <w:docPartObj>
        <w:docPartGallery w:val="Page Numbers (Bottom of Page)"/>
        <w:docPartUnique/>
      </w:docPartObj>
    </w:sdtPr>
    <w:sdtContent>
      <w:p w:rsidR="00050D6E" w:rsidRDefault="00C57122">
        <w:pPr>
          <w:pStyle w:val="Stopka"/>
          <w:jc w:val="right"/>
        </w:pPr>
        <w:fldSimple w:instr=" PAGE   \* MERGEFORMAT ">
          <w:r w:rsidR="00724336">
            <w:rPr>
              <w:noProof/>
            </w:rPr>
            <w:t>8</w:t>
          </w:r>
        </w:fldSimple>
      </w:p>
    </w:sdtContent>
  </w:sdt>
  <w:p w:rsidR="00050D6E" w:rsidRDefault="0005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FB" w:rsidRDefault="004D7DFB" w:rsidP="00050D6E">
      <w:r>
        <w:separator/>
      </w:r>
    </w:p>
  </w:footnote>
  <w:footnote w:type="continuationSeparator" w:id="0">
    <w:p w:rsidR="004D7DFB" w:rsidRDefault="004D7DFB" w:rsidP="0005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50D6E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2"/>
    <w:rsid w:val="001A7A71"/>
    <w:rsid w:val="001C3060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1D86"/>
    <w:rsid w:val="00232D4C"/>
    <w:rsid w:val="002643C9"/>
    <w:rsid w:val="002D09F1"/>
    <w:rsid w:val="002E408B"/>
    <w:rsid w:val="002F1813"/>
    <w:rsid w:val="003114C8"/>
    <w:rsid w:val="0031673E"/>
    <w:rsid w:val="003212E0"/>
    <w:rsid w:val="00323F08"/>
    <w:rsid w:val="00333F95"/>
    <w:rsid w:val="00346007"/>
    <w:rsid w:val="00352EDD"/>
    <w:rsid w:val="0035792B"/>
    <w:rsid w:val="00370678"/>
    <w:rsid w:val="003877F7"/>
    <w:rsid w:val="00393FCF"/>
    <w:rsid w:val="003C1F6B"/>
    <w:rsid w:val="003D31BB"/>
    <w:rsid w:val="003F0480"/>
    <w:rsid w:val="00401E10"/>
    <w:rsid w:val="00402998"/>
    <w:rsid w:val="0042479F"/>
    <w:rsid w:val="00447535"/>
    <w:rsid w:val="00447D83"/>
    <w:rsid w:val="00456D5A"/>
    <w:rsid w:val="00457934"/>
    <w:rsid w:val="0046537D"/>
    <w:rsid w:val="00495639"/>
    <w:rsid w:val="004A109A"/>
    <w:rsid w:val="004D7DFB"/>
    <w:rsid w:val="004E7545"/>
    <w:rsid w:val="004E7EFE"/>
    <w:rsid w:val="004F2E00"/>
    <w:rsid w:val="005035DD"/>
    <w:rsid w:val="00507795"/>
    <w:rsid w:val="005128C7"/>
    <w:rsid w:val="0051469C"/>
    <w:rsid w:val="00527996"/>
    <w:rsid w:val="00533F98"/>
    <w:rsid w:val="00544620"/>
    <w:rsid w:val="005465E2"/>
    <w:rsid w:val="00556CCF"/>
    <w:rsid w:val="00562CFD"/>
    <w:rsid w:val="0056489C"/>
    <w:rsid w:val="00566ED9"/>
    <w:rsid w:val="00570B19"/>
    <w:rsid w:val="00573EFD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24336"/>
    <w:rsid w:val="00733569"/>
    <w:rsid w:val="00744D05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676"/>
    <w:rsid w:val="00860629"/>
    <w:rsid w:val="00862D08"/>
    <w:rsid w:val="0086565B"/>
    <w:rsid w:val="00882125"/>
    <w:rsid w:val="00887C34"/>
    <w:rsid w:val="0089001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152F"/>
    <w:rsid w:val="009326DC"/>
    <w:rsid w:val="0095080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6C71"/>
    <w:rsid w:val="00AF2FCC"/>
    <w:rsid w:val="00AF3830"/>
    <w:rsid w:val="00AF7E9A"/>
    <w:rsid w:val="00B11483"/>
    <w:rsid w:val="00B11738"/>
    <w:rsid w:val="00B405A8"/>
    <w:rsid w:val="00B52018"/>
    <w:rsid w:val="00B60BB9"/>
    <w:rsid w:val="00B82B57"/>
    <w:rsid w:val="00B84E60"/>
    <w:rsid w:val="00B93794"/>
    <w:rsid w:val="00B96DF4"/>
    <w:rsid w:val="00B97862"/>
    <w:rsid w:val="00BA05A4"/>
    <w:rsid w:val="00BA6D14"/>
    <w:rsid w:val="00BB3B0B"/>
    <w:rsid w:val="00BC5AAD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57122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6625"/>
    <w:rsid w:val="00D0394C"/>
    <w:rsid w:val="00D05080"/>
    <w:rsid w:val="00D2196A"/>
    <w:rsid w:val="00D26C93"/>
    <w:rsid w:val="00D33C28"/>
    <w:rsid w:val="00D42D4D"/>
    <w:rsid w:val="00D47ABF"/>
    <w:rsid w:val="00D47CB7"/>
    <w:rsid w:val="00D513FD"/>
    <w:rsid w:val="00D55223"/>
    <w:rsid w:val="00D5534A"/>
    <w:rsid w:val="00D62854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43DC0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5393"/>
    <w:rsid w:val="00EC0245"/>
    <w:rsid w:val="00EC6D0D"/>
    <w:rsid w:val="00ED61F8"/>
    <w:rsid w:val="00EE6603"/>
    <w:rsid w:val="00EF5A00"/>
    <w:rsid w:val="00EF7E04"/>
    <w:rsid w:val="00F04228"/>
    <w:rsid w:val="00F12F01"/>
    <w:rsid w:val="00F146BA"/>
    <w:rsid w:val="00F1791A"/>
    <w:rsid w:val="00F439CB"/>
    <w:rsid w:val="00F50B2B"/>
    <w:rsid w:val="00F61FD6"/>
    <w:rsid w:val="00F710BF"/>
    <w:rsid w:val="00F80FD1"/>
    <w:rsid w:val="00F84FA8"/>
    <w:rsid w:val="00F87FFD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syllabuswyliczenieZnakZnakZnak">
    <w:name w:val="syllabus wyliczenie Znak Znak Znak"/>
    <w:basedOn w:val="Normalny"/>
    <w:rsid w:val="003877F7"/>
    <w:pPr>
      <w:widowControl/>
      <w:numPr>
        <w:numId w:val="5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6EF2-A0F9-4081-B20C-D91405B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28</cp:revision>
  <dcterms:created xsi:type="dcterms:W3CDTF">2019-07-14T20:14:00Z</dcterms:created>
  <dcterms:modified xsi:type="dcterms:W3CDTF">2021-03-23T13:29:00Z</dcterms:modified>
</cp:coreProperties>
</file>