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  <w:t>Załącznik nr 9 do Zarządzenia nr 25/2019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i/>
          <w:iCs/>
          <w:kern w:val="2"/>
          <w:sz w:val="24"/>
          <w:szCs w:val="24"/>
          <w:lang w:eastAsia="ar-SA"/>
        </w:rPr>
        <w:t xml:space="preserve">Rektora PWSW w Przemysłu z dnia 27 marca 2019 r. 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  <w:t>karta ZAJĘĆ (SYLABUS)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Cs/>
          <w:caps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I.  Zajęcia i ich usytuowanie w harmonogramie realizacji programu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caps/>
          <w:kern w:val="2"/>
          <w:sz w:val="24"/>
          <w:szCs w:val="24"/>
          <w:lang w:eastAsia="ar-SA"/>
        </w:rPr>
      </w:pPr>
    </w:p>
    <w:tbl>
      <w:tblPr>
        <w:tblW w:w="9668" w:type="dxa"/>
        <w:tblInd w:w="108" w:type="dxa"/>
        <w:tblLayout w:type="fixed"/>
        <w:tblLook w:val="04A0"/>
      </w:tblPr>
      <w:tblGrid>
        <w:gridCol w:w="3971"/>
        <w:gridCol w:w="5697"/>
      </w:tblGrid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E7136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I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nstytut 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H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umanistyczno-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A</w:t>
            </w:r>
            <w:r w:rsid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rtystyczny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Historia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Arial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 xml:space="preserve">Forma prowadzenia </w:t>
            </w:r>
            <w:r>
              <w:rPr>
                <w:rFonts w:ascii="Times New Roman" w:eastAsia="Times New Roman" w:hAnsi="Times New Roman" w:cs="Arial"/>
                <w:i/>
                <w:lang w:eastAsia="ar-SA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stacjonarne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praktyczny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studia I stopnia</w:t>
            </w:r>
          </w:p>
        </w:tc>
      </w:tr>
      <w:tr w:rsidR="0019720D" w:rsidTr="005F5729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Antropologia społeczna</w:t>
            </w:r>
          </w:p>
        </w:tc>
      </w:tr>
      <w:tr w:rsidR="0019720D" w:rsidTr="005F5729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O_05</w:t>
            </w:r>
          </w:p>
        </w:tc>
      </w:tr>
      <w:tr w:rsidR="0019720D" w:rsidTr="005F5729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741F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zajęcia: kształcenia </w:t>
            </w:r>
            <w:r w:rsidR="00741F29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ogólnego</w:t>
            </w:r>
          </w:p>
        </w:tc>
      </w:tr>
      <w:tr w:rsidR="0019720D" w:rsidTr="005F5729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strike/>
                <w:kern w:val="2"/>
                <w:sz w:val="24"/>
                <w:szCs w:val="24"/>
                <w:lang w:eastAsia="ar-SA"/>
              </w:rPr>
              <w:t>Obowiązkowy</w:t>
            </w: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/ fakultatywny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I semestr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polski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 xml:space="preserve">dr Olga Solarz </w:t>
            </w:r>
          </w:p>
        </w:tc>
      </w:tr>
      <w:tr w:rsidR="0019720D" w:rsidRPr="00792C9B" w:rsidTr="005F5729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E6006A" w:rsidRDefault="00CF6803" w:rsidP="005F5729">
            <w:pPr>
              <w:shd w:val="clear" w:color="auto" w:fill="FFFFFF"/>
              <w:jc w:val="both"/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>Marek</w:t>
            </w:r>
            <w:proofErr w:type="spellEnd"/>
            <w:r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4"/>
                <w:sz w:val="24"/>
                <w:szCs w:val="24"/>
                <w:lang w:val="en-US"/>
              </w:rPr>
              <w:t>Ruba</w:t>
            </w:r>
            <w:proofErr w:type="spellEnd"/>
          </w:p>
        </w:tc>
      </w:tr>
    </w:tbl>
    <w:p w:rsidR="0019720D" w:rsidRPr="00E71362" w:rsidRDefault="0019720D" w:rsidP="0019720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4A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19720D" w:rsidTr="005F572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Ćwiczenia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Konwersatorium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Laboratorium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Projekt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Praktyka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Inne</w:t>
            </w:r>
          </w:p>
        </w:tc>
      </w:tr>
      <w:tr w:rsidR="0019720D" w:rsidTr="005F572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3. Cele zajęć</w:t>
      </w:r>
    </w:p>
    <w:p w:rsidR="0019720D" w:rsidRDefault="0019720D" w:rsidP="0019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Celem zajęć jest przedstawienie historii rozwoju antropologii kulturowej oraz wprowadzenie w metodologiczn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ą </w:t>
      </w:r>
      <w:r w:rsidRPr="00A6475E">
        <w:rPr>
          <w:rFonts w:ascii="Times New Roman" w:hAnsi="Times New Roman"/>
          <w:sz w:val="20"/>
          <w:szCs w:val="20"/>
        </w:rPr>
        <w:t>i merytoryczn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ą </w:t>
      </w:r>
      <w:r w:rsidRPr="00A6475E">
        <w:rPr>
          <w:rFonts w:ascii="Times New Roman" w:hAnsi="Times New Roman"/>
          <w:sz w:val="20"/>
          <w:szCs w:val="20"/>
        </w:rPr>
        <w:t>problematyk</w:t>
      </w:r>
      <w:r w:rsidRPr="00A6475E">
        <w:rPr>
          <w:rFonts w:ascii="Times New Roman" w:eastAsia="TimesNewRoman" w:hAnsi="Times New Roman"/>
          <w:sz w:val="20"/>
          <w:szCs w:val="20"/>
        </w:rPr>
        <w:t xml:space="preserve">ę </w:t>
      </w:r>
      <w:r w:rsidRPr="00A6475E">
        <w:rPr>
          <w:rFonts w:ascii="Times New Roman" w:hAnsi="Times New Roman"/>
          <w:sz w:val="20"/>
          <w:szCs w:val="20"/>
        </w:rPr>
        <w:t xml:space="preserve">tej dyscypliny. Prowadząca przedmiot nie aspiruje do przedstawienia wszystkiego, co w antropologii jest ważne i cenne, albowiem przewidziany czas kursu jest tu istotnym ograniczeniem. Jednakże ma nadzieję, iż dzięki aktywnemu uczestnictwu w zajęciach oraz systematycznej lekturze wybranych tekstów, student nie tylko zapozna się z podstawowymi teoriami i pojęciami, ale przede wszystkim uwrażliwi się na postrzeganie człowieka, jako twórcy kultury. Z racji specyficznego położenia Przemyśla – na granicy kultur, szczególny nacisk będzie położony na omawianie koncepcji Innego w relacji „swój-obcy” oraz na wyeksponowanie zagadnień związanych z relatywizmem kulturowym.  </w:t>
      </w:r>
    </w:p>
    <w:p w:rsidR="0019720D" w:rsidRPr="00A6475E" w:rsidRDefault="0019720D" w:rsidP="0019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Po odbytym kursie student:</w:t>
      </w:r>
    </w:p>
    <w:p w:rsidR="0019720D" w:rsidRDefault="0019720D" w:rsidP="001972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Nazywa poszczególne nurty antropologiczne oraz identyfikuje ich założenia badawcze. Zna najwybitniejszych przedstawicieli antropologii, rozumie i osadza w aspekcie historycznym poszczególne metody badawcze. </w:t>
      </w:r>
    </w:p>
    <w:p w:rsidR="0019720D" w:rsidRPr="0019720D" w:rsidRDefault="0019720D" w:rsidP="001972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720D">
        <w:rPr>
          <w:rFonts w:ascii="Times New Roman" w:hAnsi="Times New Roman"/>
          <w:sz w:val="20"/>
          <w:szCs w:val="20"/>
        </w:rPr>
        <w:t xml:space="preserve">Potrafi analizować i opracowywać teksty antropologiczne, operuje podstawową terminologią stosowaną w badaniach kulturowych, posiada umiejętność oceniania różnych postaw, a tym samym może </w:t>
      </w:r>
      <w:r w:rsidRPr="0019720D">
        <w:rPr>
          <w:rFonts w:ascii="Times New Roman" w:hAnsi="Times New Roman"/>
          <w:sz w:val="20"/>
          <w:szCs w:val="20"/>
        </w:rPr>
        <w:lastRenderedPageBreak/>
        <w:t>wypracować własne odpowiedzialne stanowisko, jako twórcy i odtwórcy kultury.  Wyciąga wnioski z przejawów ksenofobii i buduje własną postawę, otwartą na różnorodność i Inność.</w:t>
      </w:r>
    </w:p>
    <w:p w:rsidR="0019720D" w:rsidRDefault="0019720D" w:rsidP="0019720D">
      <w:pPr>
        <w:suppressAutoHyphens/>
        <w:spacing w:after="0" w:line="240" w:lineRule="auto"/>
        <w:jc w:val="both"/>
        <w:rPr>
          <w:rFonts w:ascii="Times New Roman" w:eastAsia="Cambria" w:hAnsi="Times New Roman" w:cs="Calibri"/>
          <w:sz w:val="24"/>
          <w:szCs w:val="24"/>
          <w:lang w:eastAsia="ar-SA"/>
        </w:rPr>
      </w:pPr>
    </w:p>
    <w:p w:rsidR="0019720D" w:rsidRDefault="0019720D" w:rsidP="0019720D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4. Wymagania wstępne w zakresie wiedzy, umiejętności i innych kompetencji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Podstawowa znajomość kultury i historii powszechnej w zakresie szkoły średniej;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Podstawowe umiejętności w zakresie kwerendy www;</w:t>
      </w:r>
    </w:p>
    <w:p w:rsidR="0019720D" w:rsidRPr="00605D15" w:rsidRDefault="0019720D" w:rsidP="0019720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5D15">
        <w:rPr>
          <w:rFonts w:ascii="Calibri" w:hAnsi="Calibri" w:cs="Calibri"/>
          <w:sz w:val="24"/>
          <w:szCs w:val="24"/>
        </w:rPr>
        <w:t>Podstawowe umiejętności czytania tekstów naukowych ze zrozumieniem;</w:t>
      </w:r>
    </w:p>
    <w:p w:rsidR="0019720D" w:rsidRDefault="0019720D" w:rsidP="0019720D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right="-846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5. Efekty uczenia się dla zajęć</w:t>
      </w:r>
      <w:r>
        <w:rPr>
          <w:rFonts w:ascii="Times New Roman" w:eastAsia="Times New Roman" w:hAnsi="Times New Roman" w:cs="Calibri"/>
          <w:i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wraz z odniesieniem do kierunkowych efektów uczenia się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i/>
          <w:kern w:val="2"/>
          <w:sz w:val="24"/>
          <w:szCs w:val="24"/>
          <w:lang w:eastAsia="ar-SA"/>
        </w:rPr>
      </w:pPr>
    </w:p>
    <w:tbl>
      <w:tblPr>
        <w:tblW w:w="9915" w:type="dxa"/>
        <w:tblInd w:w="-155" w:type="dxa"/>
        <w:tblLayout w:type="fixed"/>
        <w:tblLook w:val="04A0"/>
      </w:tblPr>
      <w:tblGrid>
        <w:gridCol w:w="1142"/>
        <w:gridCol w:w="6475"/>
        <w:gridCol w:w="2298"/>
      </w:tblGrid>
      <w:tr w:rsidR="0019720D" w:rsidTr="005F572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Opis efektów uczenia się dla zajęć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Odniesienie do kierunkowych efektów uczenia się - identyfikator kierunkowych efektów uczenia się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podstawową wiedzę o miejscu i znaczeniu nauk humanistycznych w systemie nauk, ich specyfice przedmiotowej i metodologicznej, zna podstawową terminologię, zorientowaną na zastosowanie praktyczne w działalności kulturalnej, medialnej i promocyjno-reklamowej,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E71362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FFFF" w:themeColor="background1"/>
                <w:kern w:val="2"/>
                <w:sz w:val="24"/>
                <w:szCs w:val="24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_W06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podstawową wiedzę o powiązaniach nauki o literaturze, językoznawstwa i teorii komunikacji z innymi dziedzinami humanistyki (historia, historia sztuki, wiedza o kulturze, filozofia),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highlight w:val="yellow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</w:t>
            </w: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_W07</w:t>
            </w:r>
          </w:p>
        </w:tc>
      </w:tr>
      <w:tr w:rsidR="0019720D" w:rsidTr="005F5729">
        <w:trPr>
          <w:trHeight w:val="39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K_0</w:t>
            </w:r>
            <w:r w:rsidR="00E17441" w:rsidRPr="00E1744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Pr="00E17441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lang w:eastAsia="ar-SA"/>
              </w:rPr>
            </w:pPr>
            <w:r w:rsidRPr="00E17441">
              <w:rPr>
                <w:rFonts w:ascii="Times New Roman" w:eastAsia="Times New Roman" w:hAnsi="Times New Roman" w:cs="Times New Roman"/>
              </w:rPr>
              <w:t>ma świadomość odpowiedzialności za zachowanie dziedzictwa kulturowego regionu, kraju, Europy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19720D" w:rsidRDefault="00E7136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highlight w:val="yellow"/>
                <w:lang w:eastAsia="ar-SA"/>
              </w:rPr>
            </w:pPr>
            <w:r w:rsidRPr="00E71362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K_K06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 xml:space="preserve">6. Treści kształcenia – oddzielnie dla każdej formy zajęć dydaktycznych 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(W- wykład, K- konwersatorium, L- laboratorium, P- projekt, PZ- praktyka zawodowa)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Wykład</w:t>
      </w:r>
    </w:p>
    <w:tbl>
      <w:tblPr>
        <w:tblW w:w="9915" w:type="dxa"/>
        <w:tblInd w:w="-155" w:type="dxa"/>
        <w:tblLayout w:type="fixed"/>
        <w:tblLook w:val="04A0"/>
      </w:tblPr>
      <w:tblGrid>
        <w:gridCol w:w="855"/>
        <w:gridCol w:w="7896"/>
        <w:gridCol w:w="1164"/>
      </w:tblGrid>
      <w:tr w:rsidR="0019720D" w:rsidTr="005F572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Liczba godzin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W1, W2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W3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>Antropologia kulturowa jako sposób przyglądania się rzeczywistości, dyscyplina naukowa i wytwór kultury europejskiej (geneza i systematyzacja antropologii).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W4, W5,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W6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>Koncepcja ewolucji kulturowej. Ewolucjonizm Herberta Spencera, Edwarda Tylora, Lewisa Morgana i Jamesa Frazera.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W7, W8,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W9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 xml:space="preserve">Reakcja na ewolucjonizm – </w:t>
            </w:r>
            <w:proofErr w:type="spellStart"/>
            <w:r w:rsidRPr="0019720D">
              <w:rPr>
                <w:rFonts w:ascii="Times New Roman" w:hAnsi="Times New Roman"/>
                <w:sz w:val="20"/>
                <w:szCs w:val="20"/>
              </w:rPr>
              <w:t>dyfuzjoniści</w:t>
            </w:r>
            <w:proofErr w:type="spellEnd"/>
            <w:r w:rsidRPr="0019720D">
              <w:rPr>
                <w:rFonts w:ascii="Times New Roman" w:hAnsi="Times New Roman"/>
                <w:sz w:val="20"/>
                <w:szCs w:val="20"/>
              </w:rPr>
              <w:t xml:space="preserve">. Podstawowe pojęcia: dyfuzja, konwergencja kulturowa. Szkoła kręgów kulturowych i dyfuzjonizm brytyjski. Franz </w:t>
            </w:r>
            <w:proofErr w:type="spellStart"/>
            <w:r w:rsidRPr="0019720D">
              <w:rPr>
                <w:rFonts w:ascii="Times New Roman" w:hAnsi="Times New Roman"/>
                <w:sz w:val="20"/>
                <w:szCs w:val="20"/>
              </w:rPr>
              <w:t>Boas</w:t>
            </w:r>
            <w:proofErr w:type="spellEnd"/>
            <w:r w:rsidRPr="0019720D">
              <w:rPr>
                <w:rFonts w:ascii="Times New Roman" w:hAnsi="Times New Roman"/>
                <w:sz w:val="20"/>
                <w:szCs w:val="20"/>
              </w:rPr>
              <w:t xml:space="preserve"> – historycyzm faktograficzny, relatywizm, atomizm i psychologizm.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W10, W11,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W12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342A22" w:rsidRDefault="0019720D" w:rsidP="00197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20D">
              <w:rPr>
                <w:rFonts w:ascii="Times New Roman" w:hAnsi="Times New Roman"/>
                <w:sz w:val="20"/>
                <w:szCs w:val="20"/>
              </w:rPr>
              <w:t xml:space="preserve">Funkcjonalizm – podstawowe pojęcia. Teoria funkcjonalna B. Malinowskiego. Współtwórca funkcjonalizmu – </w:t>
            </w:r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 xml:space="preserve">A. R. </w:t>
            </w:r>
            <w:proofErr w:type="spellStart"/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>Radcliffe-Brown</w:t>
            </w:r>
            <w:proofErr w:type="spellEnd"/>
            <w:r w:rsidRPr="0019720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19720D">
        <w:trPr>
          <w:trHeight w:val="49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W13, W14,</w:t>
            </w:r>
          </w:p>
          <w:p w:rsid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W15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7E2B01" w:rsidRDefault="0019720D" w:rsidP="005F572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475E">
              <w:rPr>
                <w:rFonts w:ascii="Times New Roman" w:hAnsi="Times New Roman"/>
                <w:sz w:val="20"/>
                <w:szCs w:val="20"/>
              </w:rPr>
              <w:t>Funkcjonalizm strukturalny. Francuska szkoła socjologiczna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720D" w:rsidTr="005F572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Razem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tabs>
          <w:tab w:val="left" w:pos="399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lastRenderedPageBreak/>
        <w:t>7. Metody weryfikacji efektów uczenia się  /w odniesieniu do poszczególnych efektów/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10059" w:type="dxa"/>
        <w:tblInd w:w="-155" w:type="dxa"/>
        <w:tblLayout w:type="fixed"/>
        <w:tblLook w:val="04A0"/>
      </w:tblPr>
      <w:tblGrid>
        <w:gridCol w:w="1315"/>
        <w:gridCol w:w="1060"/>
        <w:gridCol w:w="1134"/>
        <w:gridCol w:w="1417"/>
        <w:gridCol w:w="992"/>
        <w:gridCol w:w="1418"/>
        <w:gridCol w:w="1701"/>
        <w:gridCol w:w="1022"/>
      </w:tblGrid>
      <w:tr w:rsidR="0019720D" w:rsidTr="005F5729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Forma weryfikacji</w:t>
            </w:r>
          </w:p>
        </w:tc>
      </w:tr>
      <w:tr w:rsidR="0019720D" w:rsidTr="005F5729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Sprawdzian wejściowy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Sprawozdanie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kern w:val="2"/>
                <w:sz w:val="24"/>
                <w:szCs w:val="24"/>
                <w:lang w:eastAsia="ar-SA"/>
              </w:rPr>
              <w:t>Inne</w:t>
            </w: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19720D" w:rsidTr="005F572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iCs/>
          <w:kern w:val="2"/>
          <w:sz w:val="24"/>
          <w:szCs w:val="24"/>
          <w:lang w:eastAsia="ar-SA"/>
        </w:rPr>
        <w:br/>
        <w:t>8. Narzędzia dydaktyczne</w:t>
      </w:r>
    </w:p>
    <w:tbl>
      <w:tblPr>
        <w:tblW w:w="0" w:type="auto"/>
        <w:tblInd w:w="-15" w:type="dxa"/>
        <w:tblLayout w:type="fixed"/>
        <w:tblLook w:val="04A0"/>
      </w:tblPr>
      <w:tblGrid>
        <w:gridCol w:w="2372"/>
        <w:gridCol w:w="3988"/>
      </w:tblGrid>
      <w:tr w:rsidR="0019720D" w:rsidTr="005F57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Forma zajęć</w:t>
            </w:r>
          </w:p>
        </w:tc>
      </w:tr>
      <w:tr w:rsidR="0019720D" w:rsidTr="005F57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W1−W15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Wykład połączony z prezentacją multimedialną, omawianie tekstów.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 xml:space="preserve">9. Ocena </w:t>
      </w:r>
      <w:r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osiągniętych efektów uczenia się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left="66" w:firstLine="654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9.1. Sposoby oceny</w:t>
      </w: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ind w:left="1440" w:firstLine="720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Ocena formująca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78"/>
      </w:tblGrid>
      <w:tr w:rsidR="0019720D" w:rsidTr="005F572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Pisemne kolokwium poświęcone wskazanym przez prowadzącego przedmiot tekstom.</w:t>
            </w:r>
          </w:p>
        </w:tc>
      </w:tr>
    </w:tbl>
    <w:p w:rsidR="0019720D" w:rsidRDefault="0019720D" w:rsidP="0019720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Pr="008240DC" w:rsidRDefault="0019720D" w:rsidP="0019720D">
      <w:pPr>
        <w:widowControl w:val="0"/>
        <w:suppressAutoHyphens/>
        <w:autoSpaceDE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40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Ocena podsumowująca</w:t>
      </w: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5297"/>
      </w:tblGrid>
      <w:tr w:rsidR="0019720D" w:rsidRPr="008240DC" w:rsidTr="005F572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8240DC" w:rsidRDefault="0019720D" w:rsidP="005F5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8240DC" w:rsidRDefault="0019720D" w:rsidP="005F57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Zaliczenie wykładu na podstawie kolokwium</w:t>
            </w:r>
          </w:p>
          <w:p w:rsidR="0019720D" w:rsidRPr="008240DC" w:rsidRDefault="0019720D" w:rsidP="00E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DC">
              <w:rPr>
                <w:rFonts w:ascii="Times New Roman" w:hAnsi="Times New Roman" w:cs="Times New Roman"/>
                <w:sz w:val="24"/>
                <w:szCs w:val="24"/>
              </w:rPr>
              <w:t>(średnia zwykła F1)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9.2. Kryteria oceny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-155" w:type="dxa"/>
        <w:tblLayout w:type="fixed"/>
        <w:tblLook w:val="04A0"/>
      </w:tblPr>
      <w:tblGrid>
        <w:gridCol w:w="817"/>
        <w:gridCol w:w="1757"/>
        <w:gridCol w:w="1757"/>
        <w:gridCol w:w="1757"/>
        <w:gridCol w:w="1757"/>
        <w:gridCol w:w="1827"/>
      </w:tblGrid>
      <w:tr w:rsidR="0019720D" w:rsidTr="005F572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Sym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Na ocenę 5</w:t>
            </w:r>
          </w:p>
        </w:tc>
      </w:tr>
      <w:tr w:rsidR="0019720D" w:rsidTr="005F572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  <w:t>W_01; W_02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19720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podstawowe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>
              <w:rPr>
                <w:rFonts w:ascii="Times New Roman" w:hAnsi="Times New Roman" w:cs="Times New Roman"/>
              </w:rPr>
              <w:t>antropologii społecznej</w:t>
            </w:r>
            <w:r>
              <w:rPr>
                <w:rFonts w:ascii="Times New Roman" w:hAnsi="Times New Roman" w:cs="Times New Roman"/>
                <w:bCs/>
                <w:iCs/>
                <w:noProof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ogólnie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więcej niż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 w:rsidRPr="00F35CF4"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cs="Times New Roman"/>
              </w:rPr>
              <w:t xml:space="preserve"> zna w stopniu bardzo dobrym pojęcia i paradygmaty badawcze,</w:t>
            </w:r>
            <w:r w:rsidRPr="00F35CF4">
              <w:rPr>
                <w:rFonts w:ascii="Times New Roman" w:hAnsi="Times New Roman" w:cs="Times New Roman"/>
              </w:rPr>
              <w:t xml:space="preserve"> potrafi </w:t>
            </w:r>
            <w:r>
              <w:rPr>
                <w:rFonts w:ascii="Times New Roman" w:hAnsi="Times New Roman" w:cs="Times New Roman"/>
              </w:rPr>
              <w:t xml:space="preserve">identyfikować procesy kulturowe, </w:t>
            </w:r>
            <w:r w:rsidRPr="00F35CF4">
              <w:rPr>
                <w:rFonts w:ascii="Times New Roman" w:hAnsi="Times New Roman" w:cs="Times New Roman"/>
              </w:rPr>
              <w:t xml:space="preserve">rozpoznawać paradygmaty badawcze wypracowane w ramach </w:t>
            </w:r>
            <w:r w:rsidR="001B3765">
              <w:rPr>
                <w:rFonts w:ascii="Times New Roman" w:hAnsi="Times New Roman" w:cs="Times New Roman"/>
              </w:rPr>
              <w:t>antropologii społecznej</w:t>
            </w:r>
          </w:p>
        </w:tc>
      </w:tr>
      <w:tr w:rsidR="0019720D" w:rsidTr="005F572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  <w:t>K_01;</w:t>
            </w:r>
          </w:p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1B376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Student/ka potrafi na minimalnym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Student/ka potrafi na dostatecznym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Student/ka potrafi na dobrym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lastRenderedPageBreak/>
              <w:t xml:space="preserve">poziomie 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Student/ka potrafi na więcej niż </w:t>
            </w: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dobrym poziomie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poddać krytycznemu oglądowi zagadnienia z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Student/ka potrafi samodzielnie na </w:t>
            </w:r>
            <w:r>
              <w:rPr>
                <w:rFonts w:ascii="Times New Roman" w:eastAsia="Times New Roman" w:hAnsi="Times New Roman" w:cs="Calibri"/>
                <w:kern w:val="2"/>
                <w:sz w:val="20"/>
                <w:lang w:eastAsia="ar-SA"/>
              </w:rPr>
              <w:lastRenderedPageBreak/>
              <w:t xml:space="preserve">bardzo dobrym 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 xml:space="preserve">poddać krytycznemu oglądowi zagadnienia </w:t>
            </w:r>
            <w:r w:rsidR="001B3765">
              <w:rPr>
                <w:rFonts w:ascii="Times New Roman" w:eastAsia="Times New Roman" w:hAnsi="Times New Roman" w:cs="Calibri"/>
                <w:sz w:val="20"/>
                <w:lang w:eastAsia="ar-SA"/>
              </w:rPr>
              <w:t>antropologii społecznej.</w:t>
            </w:r>
            <w:r>
              <w:rPr>
                <w:rFonts w:ascii="Times New Roman" w:eastAsia="Times New Roman" w:hAnsi="Times New Roman" w:cs="Calibri"/>
                <w:sz w:val="20"/>
                <w:lang w:eastAsia="ar-SA"/>
              </w:rPr>
              <w:t>.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t>10. Literatura podstawowa i uzupełniająca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J. S. Bystroń, Tematy, które mi odradzano, </w:t>
      </w:r>
      <w:proofErr w:type="spellStart"/>
      <w:r w:rsidRPr="00A6475E">
        <w:rPr>
          <w:rFonts w:ascii="Times New Roman" w:hAnsi="Times New Roman"/>
          <w:sz w:val="20"/>
          <w:szCs w:val="20"/>
        </w:rPr>
        <w:t>W-wa</w:t>
      </w:r>
      <w:proofErr w:type="spellEnd"/>
      <w:r w:rsidRPr="00A6475E">
        <w:rPr>
          <w:rFonts w:ascii="Times New Roman" w:hAnsi="Times New Roman"/>
          <w:sz w:val="20"/>
          <w:szCs w:val="20"/>
        </w:rPr>
        <w:t>, 1980, s. 314-353 (wierzenia o obcych)</w:t>
      </w: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W.J. Bursza, Antropologia kultury, Poznań, 1998, s. 13-34.</w:t>
      </w:r>
    </w:p>
    <w:p w:rsidR="001B3765" w:rsidRPr="00A6475E" w:rsidRDefault="001B3765" w:rsidP="001B376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E. Krawczak, Antropologia kulturowa, Lublin, 2006, s.9-31.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</w:rPr>
      </w:pPr>
      <w:r w:rsidRPr="00A6475E">
        <w:rPr>
          <w:rFonts w:ascii="Times New Roman" w:hAnsi="Times New Roman"/>
          <w:sz w:val="20"/>
          <w:szCs w:val="20"/>
        </w:rPr>
        <w:t xml:space="preserve">Ewolucjonizm </w:t>
      </w:r>
    </w:p>
    <w:p w:rsidR="001B3765" w:rsidRPr="00A6475E" w:rsidRDefault="001B3765" w:rsidP="001B376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James Frazer, Złota gałąź, PIW, 1962, s.37-67.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Tylor, Cywilizacja pierwotna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s.83-96.</w:t>
      </w:r>
    </w:p>
    <w:p w:rsidR="001B3765" w:rsidRPr="00A6475E" w:rsidRDefault="001B3765" w:rsidP="001B376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L.H. Morgan, Społeczeństwo pierwotne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71-81.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Dyfuzjonizm 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iCs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iCs/>
          <w:sz w:val="20"/>
          <w:szCs w:val="20"/>
        </w:rPr>
        <w:t>Boas</w:t>
      </w:r>
      <w:proofErr w:type="spellEnd"/>
      <w:r w:rsidRPr="00A6475E">
        <w:rPr>
          <w:rFonts w:ascii="Times New Roman" w:hAnsi="Times New Roman"/>
          <w:iCs/>
          <w:sz w:val="20"/>
          <w:szCs w:val="20"/>
        </w:rPr>
        <w:t>, Cele badań antropologicznych</w:t>
      </w:r>
      <w:r w:rsidRPr="00A6475E">
        <w:rPr>
          <w:rFonts w:ascii="Times New Roman" w:hAnsi="Times New Roman"/>
          <w:sz w:val="20"/>
          <w:szCs w:val="20"/>
        </w:rPr>
        <w:t xml:space="preserve">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s.250-263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iCs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iCs/>
          <w:sz w:val="20"/>
          <w:szCs w:val="20"/>
        </w:rPr>
        <w:t>Boas</w:t>
      </w:r>
      <w:proofErr w:type="spellEnd"/>
      <w:r w:rsidRPr="00A6475E">
        <w:rPr>
          <w:rFonts w:ascii="Times New Roman" w:hAnsi="Times New Roman"/>
          <w:iCs/>
          <w:sz w:val="20"/>
          <w:szCs w:val="20"/>
        </w:rPr>
        <w:t>, Ewolucja czy dyfuzja?</w:t>
      </w:r>
      <w:r w:rsidRPr="00A6475E">
        <w:rPr>
          <w:rFonts w:ascii="Times New Roman" w:hAnsi="Times New Roman"/>
          <w:sz w:val="20"/>
          <w:szCs w:val="20"/>
        </w:rPr>
        <w:t xml:space="preserve">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274-278.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F. </w:t>
      </w:r>
      <w:proofErr w:type="spellStart"/>
      <w:r w:rsidRPr="00A6475E">
        <w:rPr>
          <w:rFonts w:ascii="Times New Roman" w:hAnsi="Times New Roman"/>
          <w:sz w:val="20"/>
          <w:szCs w:val="20"/>
        </w:rPr>
        <w:t>Ratzel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Antropogeografia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301-314.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S. Czarnowski, Wędrówka narzędzia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323-331.</w:t>
      </w:r>
    </w:p>
    <w:p w:rsidR="001B3765" w:rsidRPr="00A6475E" w:rsidRDefault="001B3765" w:rsidP="001B376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A.L. Kroeber, Obszary kulturowe a środowisko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332-337.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Funkcjonalizm 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B. Malinowski Bronisław, </w:t>
      </w:r>
      <w:r w:rsidRPr="00A6475E">
        <w:rPr>
          <w:rFonts w:ascii="Times New Roman" w:hAnsi="Times New Roman"/>
          <w:i/>
          <w:iCs/>
          <w:sz w:val="20"/>
          <w:szCs w:val="20"/>
        </w:rPr>
        <w:t>Argonauci zachodniego Pacyfiku</w:t>
      </w:r>
      <w:r w:rsidRPr="00A6475E">
        <w:rPr>
          <w:rFonts w:ascii="Times New Roman" w:hAnsi="Times New Roman"/>
          <w:sz w:val="20"/>
          <w:szCs w:val="20"/>
        </w:rPr>
        <w:t xml:space="preserve">,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s.507-552.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Malinowski Bronisław, </w:t>
      </w:r>
      <w:r w:rsidRPr="00A6475E">
        <w:rPr>
          <w:rFonts w:ascii="Times New Roman" w:hAnsi="Times New Roman"/>
          <w:i/>
          <w:iCs/>
          <w:sz w:val="20"/>
          <w:szCs w:val="20"/>
        </w:rPr>
        <w:t>Dziennik w ścisłym znaczeniu tego wyrazu</w:t>
      </w:r>
      <w:r w:rsidRPr="00A6475E">
        <w:rPr>
          <w:rFonts w:ascii="Times New Roman" w:hAnsi="Times New Roman"/>
          <w:sz w:val="20"/>
          <w:szCs w:val="20"/>
        </w:rPr>
        <w:t>, Wydawnictwo literackie, 2002.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A.R. </w:t>
      </w:r>
      <w:proofErr w:type="spellStart"/>
      <w:r w:rsidRPr="00A6475E">
        <w:rPr>
          <w:rFonts w:ascii="Times New Roman" w:hAnsi="Times New Roman"/>
          <w:sz w:val="20"/>
          <w:szCs w:val="20"/>
        </w:rPr>
        <w:t>Radcliffe-Brown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Brat matki w Afryce Południowej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599-611.</w:t>
      </w:r>
    </w:p>
    <w:p w:rsidR="001B3765" w:rsidRPr="00A6475E" w:rsidRDefault="001B3765" w:rsidP="001B37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>Francuska szkoła socjologiczna.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75E">
        <w:rPr>
          <w:rFonts w:ascii="Times New Roman" w:hAnsi="Times New Roman"/>
          <w:sz w:val="20"/>
          <w:szCs w:val="20"/>
        </w:rPr>
        <w:t>L.Levy-Bruhl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działania umysłowości prelogicznej,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s.230-246.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75E">
        <w:rPr>
          <w:rFonts w:ascii="Times New Roman" w:hAnsi="Times New Roman"/>
          <w:sz w:val="20"/>
          <w:szCs w:val="20"/>
        </w:rPr>
        <w:t>L.Levy-Bruhl</w:t>
      </w:r>
      <w:proofErr w:type="spellEnd"/>
      <w:r w:rsidRPr="00A6475E">
        <w:rPr>
          <w:rFonts w:ascii="Times New Roman" w:hAnsi="Times New Roman"/>
          <w:sz w:val="20"/>
          <w:szCs w:val="20"/>
        </w:rPr>
        <w:t>, Czynności umysłowe w społeczeństwach pierwotnych, Warszawa, 1992, s. 2-30.</w:t>
      </w:r>
    </w:p>
    <w:p w:rsidR="001B3765" w:rsidRPr="00A6475E" w:rsidRDefault="001B3765" w:rsidP="001B376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M. </w:t>
      </w:r>
      <w:proofErr w:type="spellStart"/>
      <w:r w:rsidRPr="00A6475E">
        <w:rPr>
          <w:rFonts w:ascii="Times New Roman" w:hAnsi="Times New Roman"/>
          <w:sz w:val="20"/>
          <w:szCs w:val="20"/>
        </w:rPr>
        <w:t>Mauss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szkic o sezonowych przemianach społeczeństw Eskimosów. Studium z morfologii społecznej [w:] </w:t>
      </w:r>
      <w:r w:rsidRPr="00A6475E">
        <w:rPr>
          <w:rFonts w:ascii="Times New Roman" w:hAnsi="Times New Roman"/>
          <w:iCs/>
          <w:sz w:val="20"/>
          <w:szCs w:val="20"/>
        </w:rPr>
        <w:t>Świat człowieka – świat kultury. Antologia tekstów klasycznej antropologii</w:t>
      </w:r>
      <w:r w:rsidRPr="00A6475E">
        <w:rPr>
          <w:rFonts w:ascii="Times New Roman" w:hAnsi="Times New Roman"/>
          <w:sz w:val="20"/>
          <w:szCs w:val="20"/>
        </w:rPr>
        <w:t xml:space="preserve">, redakcja naukowa: E. Nowicka, M. </w:t>
      </w:r>
      <w:proofErr w:type="spellStart"/>
      <w:r w:rsidRPr="00A6475E">
        <w:rPr>
          <w:rFonts w:ascii="Times New Roman" w:hAnsi="Times New Roman"/>
          <w:sz w:val="20"/>
          <w:szCs w:val="20"/>
        </w:rPr>
        <w:t>Głowacka-Grajper</w:t>
      </w:r>
      <w:proofErr w:type="spellEnd"/>
      <w:r w:rsidRPr="00A6475E">
        <w:rPr>
          <w:rFonts w:ascii="Times New Roman" w:hAnsi="Times New Roman"/>
          <w:sz w:val="20"/>
          <w:szCs w:val="20"/>
        </w:rPr>
        <w:t>, Warszawa 2007, s.167-217.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</w:t>
      </w:r>
      <w:proofErr w:type="spellStart"/>
      <w:r w:rsidRPr="00A6475E">
        <w:rPr>
          <w:rFonts w:ascii="Times New Roman" w:hAnsi="Times New Roman"/>
          <w:sz w:val="20"/>
          <w:szCs w:val="20"/>
        </w:rPr>
        <w:t>Evans-Pritchard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Wódz w lamparciej skórze,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613-619.</w:t>
      </w:r>
    </w:p>
    <w:p w:rsidR="001B3765" w:rsidRPr="00A6475E" w:rsidRDefault="001B3765" w:rsidP="001B37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75E">
        <w:rPr>
          <w:rFonts w:ascii="Times New Roman" w:hAnsi="Times New Roman"/>
          <w:sz w:val="20"/>
          <w:szCs w:val="20"/>
        </w:rPr>
        <w:t xml:space="preserve">E. </w:t>
      </w:r>
      <w:proofErr w:type="spellStart"/>
      <w:r w:rsidRPr="00A6475E">
        <w:rPr>
          <w:rFonts w:ascii="Times New Roman" w:hAnsi="Times New Roman"/>
          <w:sz w:val="20"/>
          <w:szCs w:val="20"/>
        </w:rPr>
        <w:t>Evans-Pritchard</w:t>
      </w:r>
      <w:proofErr w:type="spellEnd"/>
      <w:r w:rsidRPr="00A6475E">
        <w:rPr>
          <w:rFonts w:ascii="Times New Roman" w:hAnsi="Times New Roman"/>
          <w:sz w:val="20"/>
          <w:szCs w:val="20"/>
        </w:rPr>
        <w:t xml:space="preserve">, czarownictwo jako wyjaśnianie nieszczęśliwych zdarzeń, [w:] </w:t>
      </w:r>
      <w:r w:rsidRPr="00A6475E">
        <w:rPr>
          <w:rFonts w:ascii="Times New Roman" w:hAnsi="Times New Roman"/>
          <w:iCs/>
          <w:sz w:val="20"/>
          <w:szCs w:val="20"/>
        </w:rPr>
        <w:t>Tamże</w:t>
      </w:r>
      <w:r w:rsidRPr="00A6475E">
        <w:rPr>
          <w:rFonts w:ascii="Times New Roman" w:hAnsi="Times New Roman"/>
          <w:sz w:val="20"/>
          <w:szCs w:val="20"/>
        </w:rPr>
        <w:t>, s. 613-619.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11. Macierz realizacji zajęć</w:t>
      </w:r>
    </w:p>
    <w:tbl>
      <w:tblPr>
        <w:tblW w:w="0" w:type="auto"/>
        <w:tblInd w:w="-176" w:type="dxa"/>
        <w:tblLayout w:type="fixed"/>
        <w:tblLook w:val="04A0"/>
      </w:tblPr>
      <w:tblGrid>
        <w:gridCol w:w="1418"/>
        <w:gridCol w:w="2127"/>
        <w:gridCol w:w="1134"/>
        <w:gridCol w:w="1559"/>
        <w:gridCol w:w="1701"/>
        <w:gridCol w:w="1701"/>
      </w:tblGrid>
      <w:tr w:rsidR="0019720D" w:rsidTr="005F572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Symbol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Odniesienie efektu do efektów zde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Cele</w:t>
            </w:r>
          </w:p>
          <w:p w:rsidR="0019720D" w:rsidRDefault="0019720D" w:rsidP="005F57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Sposoby oceny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  <w:tr w:rsidR="0019720D" w:rsidTr="00E174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19720D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0D" w:rsidRPr="00E17441" w:rsidRDefault="00E17441" w:rsidP="005F572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1744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P1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E17441" w:rsidRDefault="00E17441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kern w:val="2"/>
          <w:sz w:val="24"/>
          <w:szCs w:val="24"/>
          <w:lang w:eastAsia="ar-SA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4A0"/>
      </w:tblPr>
      <w:tblGrid>
        <w:gridCol w:w="6237"/>
        <w:gridCol w:w="3402"/>
      </w:tblGrid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Średnia liczba godzin na zrealizowanie aktywności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D43CA7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  <w:bookmarkStart w:id="0" w:name="_GoBack"/>
            <w:bookmarkEnd w:id="0"/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i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kern w:val="2"/>
                <w:lang w:eastAsia="ar-SA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1</w:t>
            </w:r>
            <w:r w:rsidR="00E17441"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19720D" w:rsidP="00E174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  <w:r w:rsidR="00E17441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lang w:eastAsia="ar-SA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27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ar-SA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4263A2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3A2">
              <w:rPr>
                <w:rFonts w:ascii="Times New Roman" w:eastAsia="Times New Roman" w:hAnsi="Times New Roman" w:cs="Calibri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9720D" w:rsidTr="005F572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19720D" w:rsidTr="005F5729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20D" w:rsidRDefault="0019720D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iCs/>
                <w:kern w:val="2"/>
                <w:sz w:val="24"/>
                <w:szCs w:val="24"/>
                <w:lang w:eastAsia="ar-SA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20D" w:rsidRPr="004263A2" w:rsidRDefault="00E17441" w:rsidP="005F572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Cs/>
                <w:kern w:val="2"/>
                <w:sz w:val="24"/>
                <w:szCs w:val="24"/>
                <w:lang w:eastAsia="ar-SA"/>
              </w:rPr>
              <w:t>-</w:t>
            </w:r>
          </w:p>
        </w:tc>
      </w:tr>
    </w:tbl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Zatwierdzenie karty zajęć do realizacji.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Odpowiedzialny za zajęcia:                                             Dyrektor Instytutu:</w:t>
      </w:r>
    </w:p>
    <w:p w:rsidR="0019720D" w:rsidRDefault="00CF6803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6803">
        <w:rPr>
          <w:rFonts w:ascii="Calibri" w:hAnsi="Calibri" w:cs="Calibri"/>
          <w:kern w:val="24"/>
          <w:sz w:val="24"/>
          <w:szCs w:val="24"/>
        </w:rPr>
        <w:t>dr Marek Ruba</w:t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</w:r>
      <w:r w:rsidR="00792C9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ab/>
        <w:t>dr Irena Kozimala</w:t>
      </w: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19720D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20D" w:rsidRDefault="00792C9B" w:rsidP="0019720D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Przemyśl, dnia 17 września 2019</w:t>
      </w:r>
    </w:p>
    <w:p w:rsidR="0019720D" w:rsidRDefault="0019720D" w:rsidP="0019720D"/>
    <w:p w:rsidR="005D68C6" w:rsidRDefault="005D68C6"/>
    <w:sectPr w:rsidR="005D68C6" w:rsidSect="0030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A9B"/>
    <w:multiLevelType w:val="multilevel"/>
    <w:tmpl w:val="6280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848A4"/>
    <w:multiLevelType w:val="hybridMultilevel"/>
    <w:tmpl w:val="72A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81394"/>
    <w:multiLevelType w:val="hybridMultilevel"/>
    <w:tmpl w:val="5128E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1712E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71FAC"/>
    <w:multiLevelType w:val="hybridMultilevel"/>
    <w:tmpl w:val="4104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1310C"/>
    <w:multiLevelType w:val="hybridMultilevel"/>
    <w:tmpl w:val="B51A4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8418B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C62B2A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A5FDA"/>
    <w:multiLevelType w:val="hybridMultilevel"/>
    <w:tmpl w:val="6AF23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702AA"/>
    <w:multiLevelType w:val="hybridMultilevel"/>
    <w:tmpl w:val="5A84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57C"/>
    <w:rsid w:val="0019720D"/>
    <w:rsid w:val="001B3765"/>
    <w:rsid w:val="003059E3"/>
    <w:rsid w:val="004263A2"/>
    <w:rsid w:val="004E5D5C"/>
    <w:rsid w:val="005D68C6"/>
    <w:rsid w:val="00741F29"/>
    <w:rsid w:val="00792C9B"/>
    <w:rsid w:val="008D357C"/>
    <w:rsid w:val="00A45679"/>
    <w:rsid w:val="00CF6803"/>
    <w:rsid w:val="00D43CA7"/>
    <w:rsid w:val="00E17441"/>
    <w:rsid w:val="00E71362"/>
    <w:rsid w:val="00F6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20D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197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20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NormalnyWeb">
    <w:name w:val="Normal (Web)"/>
    <w:basedOn w:val="Normalny"/>
    <w:rsid w:val="0019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72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1434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</cp:lastModifiedBy>
  <cp:revision>9</cp:revision>
  <cp:lastPrinted>2019-10-11T10:26:00Z</cp:lastPrinted>
  <dcterms:created xsi:type="dcterms:W3CDTF">2019-10-11T10:26:00Z</dcterms:created>
  <dcterms:modified xsi:type="dcterms:W3CDTF">2021-03-23T13:41:00Z</dcterms:modified>
</cp:coreProperties>
</file>