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="00FB0CE1">
        <w:rPr>
          <w:rFonts w:ascii="Times New Roman" w:hAnsi="Times New Roman"/>
          <w:bCs/>
          <w:caps/>
          <w:kern w:val="1"/>
          <w:sz w:val="24"/>
          <w:szCs w:val="24"/>
        </w:rPr>
        <w:t xml:space="preserve"> Historia wojskowości w starożytności.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391D8F" w:rsidRDefault="008E69F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391D8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Histo</w:t>
            </w:r>
            <w:r w:rsidR="00391D8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ria wojskowości w starożytności</w:t>
            </w:r>
            <w:bookmarkStart w:id="0" w:name="_GoBack"/>
            <w:bookmarkEnd w:id="0"/>
          </w:p>
        </w:tc>
      </w:tr>
      <w:tr w:rsidR="000F0A27" w:rsidTr="00A07BE7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E69F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01B</w:t>
            </w:r>
          </w:p>
        </w:tc>
      </w:tr>
      <w:tr w:rsidR="000F0A27" w:rsidTr="00A07BE7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8342E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kierunkowego 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do wyboru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A07BE7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6675EF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E69F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8E69F3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8342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1 - student nabywa wiedzę z zakresu</w:t>
      </w:r>
      <w:r w:rsidR="008E69F3">
        <w:rPr>
          <w:rFonts w:ascii="Times New Roman" w:hAnsi="Times New Roman"/>
          <w:sz w:val="24"/>
          <w:szCs w:val="24"/>
        </w:rPr>
        <w:t xml:space="preserve"> historii wojskowości w epoce starożytnej</w:t>
      </w:r>
      <w:r>
        <w:rPr>
          <w:rFonts w:ascii="Times New Roman" w:hAnsi="Times New Roman"/>
          <w:sz w:val="24"/>
          <w:szCs w:val="24"/>
        </w:rPr>
        <w:t xml:space="preserve"> </w:t>
      </w:r>
      <w:r w:rsidR="008E69F3">
        <w:rPr>
          <w:rFonts w:ascii="Times New Roman" w:hAnsi="Times New Roman"/>
          <w:sz w:val="24"/>
          <w:szCs w:val="24"/>
        </w:rPr>
        <w:t xml:space="preserve">oraz sposoby </w:t>
      </w:r>
      <w:r>
        <w:rPr>
          <w:rFonts w:ascii="Times New Roman" w:hAnsi="Times New Roman"/>
          <w:sz w:val="24"/>
          <w:szCs w:val="24"/>
        </w:rPr>
        <w:t>jej praktycznego zastosowania</w:t>
      </w:r>
      <w:r w:rsidR="008E69F3">
        <w:rPr>
          <w:rFonts w:ascii="Times New Roman" w:hAnsi="Times New Roman"/>
          <w:sz w:val="24"/>
          <w:szCs w:val="24"/>
        </w:rPr>
        <w:t xml:space="preserve"> w popularyzacji wiedzy historycznej</w:t>
      </w:r>
      <w:r>
        <w:rPr>
          <w:rFonts w:ascii="Times New Roman" w:hAnsi="Times New Roman"/>
          <w:sz w:val="24"/>
          <w:szCs w:val="24"/>
        </w:rPr>
        <w:t>;</w:t>
      </w:r>
    </w:p>
    <w:p w:rsidR="000F0A27" w:rsidRDefault="000F0A27" w:rsidP="008342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8342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2 - student potrafi opisa</w:t>
      </w:r>
      <w:r w:rsidR="008E69F3">
        <w:rPr>
          <w:rFonts w:ascii="Times New Roman" w:hAnsi="Times New Roman"/>
          <w:sz w:val="24"/>
          <w:szCs w:val="24"/>
        </w:rPr>
        <w:t xml:space="preserve">ć i zrealizować główne etapy rozwoju wojskowości w okresie starożytnym( </w:t>
      </w:r>
      <w:proofErr w:type="spellStart"/>
      <w:r w:rsidR="008E69F3">
        <w:rPr>
          <w:rFonts w:ascii="Times New Roman" w:hAnsi="Times New Roman"/>
          <w:sz w:val="24"/>
          <w:szCs w:val="24"/>
        </w:rPr>
        <w:t>okr</w:t>
      </w:r>
      <w:proofErr w:type="spellEnd"/>
      <w:r w:rsidR="008E69F3">
        <w:rPr>
          <w:rFonts w:ascii="Times New Roman" w:hAnsi="Times New Roman"/>
          <w:sz w:val="24"/>
          <w:szCs w:val="24"/>
        </w:rPr>
        <w:t>. cywilizacji bliskowschodnich, grecki, rzymski).</w:t>
      </w:r>
    </w:p>
    <w:p w:rsidR="008342EA" w:rsidRDefault="008342EA" w:rsidP="008342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325BA" w:rsidRDefault="000F0A27" w:rsidP="008342EA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3 - student zdobywa umiejętności formułowania i analizowania problemów badawczych </w:t>
      </w:r>
      <w:r w:rsidR="008342EA">
        <w:rPr>
          <w:rFonts w:ascii="Times New Roman" w:hAnsi="Times New Roman"/>
          <w:sz w:val="24"/>
          <w:szCs w:val="24"/>
        </w:rPr>
        <w:br/>
      </w:r>
      <w:r w:rsidR="008E69F3">
        <w:rPr>
          <w:rFonts w:ascii="Times New Roman" w:hAnsi="Times New Roman"/>
          <w:sz w:val="24"/>
          <w:szCs w:val="24"/>
        </w:rPr>
        <w:t>z zakresu historii wojskowości w epoce starożytnej.</w:t>
      </w:r>
      <w:r w:rsidR="00A325BA" w:rsidRPr="00A325BA">
        <w:rPr>
          <w:rFonts w:ascii="Times New Roman" w:hAnsi="Times New Roman"/>
          <w:b/>
          <w:sz w:val="24"/>
          <w:szCs w:val="24"/>
        </w:rPr>
        <w:t xml:space="preserve"> </w:t>
      </w:r>
    </w:p>
    <w:p w:rsidR="00A325BA" w:rsidRDefault="00A325BA" w:rsidP="008342E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2EA" w:rsidRDefault="00A325BA" w:rsidP="008342E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8342EA" w:rsidRPr="008342EA" w:rsidRDefault="008342EA" w:rsidP="008342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325BA" w:rsidRPr="008342EA" w:rsidRDefault="00A325BA" w:rsidP="008342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42EA">
        <w:rPr>
          <w:rFonts w:ascii="Times New Roman" w:hAnsi="Times New Roman" w:cs="Times New Roman"/>
          <w:sz w:val="24"/>
          <w:szCs w:val="24"/>
        </w:rPr>
        <w:t xml:space="preserve">Znajomość historii starożytnej w zakresie szkoły średniej, </w:t>
      </w:r>
    </w:p>
    <w:p w:rsidR="00A325BA" w:rsidRPr="00A325BA" w:rsidRDefault="00A325BA" w:rsidP="008342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Elementarne umiejętności analizy tekstów źródłowych,</w:t>
      </w:r>
    </w:p>
    <w:p w:rsidR="00A325BA" w:rsidRPr="00A325BA" w:rsidRDefault="003A6518" w:rsidP="008342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Podstawowa wiedza z geografii regionów cywilizacji antycznych.</w:t>
      </w: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lastRenderedPageBreak/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E151B8" w:rsidTr="002C51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5B5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Zna definicje i podstawowe zagadnienia oraz zjawiska z zakresu historii wojskowości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sz w:val="22"/>
                <w:szCs w:val="22"/>
              </w:rPr>
              <w:t>K_W06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dostrzega i opisuje najważnie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jsze zagadnienia służące zrozumieniu zjawiska wojny i konfliktów militarnych w okresie starożytnym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sz w:val="22"/>
                <w:szCs w:val="22"/>
              </w:rPr>
              <w:t>K_W07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 użyć właściwych metod badawczych w zakresie pozyskania źródeł, umie zastosować odpowiednie formy ich analizy oraz interpretacji uzyskanych wyników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sz w:val="22"/>
                <w:szCs w:val="22"/>
              </w:rPr>
              <w:t>K_U01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przygotować pracę zaliczeniową merytorycznie uzasadniając własne tezy i hipotezy badawcze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sz w:val="22"/>
                <w:szCs w:val="22"/>
              </w:rPr>
              <w:t>K_U14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potrafi określić poziom swojej wiedzy i umiejętności, rozumie potrzebę ciągłego uczenia się i doskonalenia kompetencji zawodowych, wyznacza kierunki dalszego rozwoju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K_K01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8342EA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8342EA" w:rsidRDefault="006675EF" w:rsidP="008342EA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rozumie znaczenie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historii wojskowości 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w badaniu przeszłości oraz ma świadomość wpływu zjawisk historycznych na życie społeczne i gospodarcze państwa i jego obywateli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w średniowieczu i obecnie i w przyszłości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8342EA" w:rsidRDefault="002C5143" w:rsidP="008342EA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sz w:val="22"/>
                <w:szCs w:val="22"/>
              </w:rPr>
              <w:t>K_K05</w:t>
            </w:r>
          </w:p>
        </w:tc>
      </w:tr>
    </w:tbl>
    <w:p w:rsidR="000F0A27" w:rsidRPr="00E151B8" w:rsidRDefault="000F0A27" w:rsidP="00A325BA">
      <w:pPr>
        <w:pStyle w:val="Bezodstpw"/>
        <w:rPr>
          <w:rFonts w:ascii="Times New Roman" w:hAnsi="Times New Roman" w:cs="Times New Roman"/>
        </w:rPr>
      </w:pPr>
    </w:p>
    <w:p w:rsidR="000F0A27" w:rsidRPr="008342EA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342EA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8342EA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342EA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8342EA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8342EA" w:rsidRDefault="000F0A27" w:rsidP="008342E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342EA">
        <w:rPr>
          <w:rFonts w:ascii="Times New Roman" w:hAnsi="Times New Roman" w:cs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76DD0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Teatr działań wojennych w starożytności. Charakterystyka regionu bliskowschodniego i śródziemnomorskiego.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76DD0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Organizacja sił zbrojnych państw Bliskiego Wschodu</w:t>
            </w:r>
            <w:r w:rsidR="005929E7" w:rsidRPr="00834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929E7" w:rsidRPr="008342EA">
              <w:rPr>
                <w:rFonts w:ascii="Times New Roman" w:hAnsi="Times New Roman" w:cs="Times New Roman"/>
                <w:sz w:val="24"/>
                <w:szCs w:val="24"/>
              </w:rPr>
              <w:t xml:space="preserve">ch sztuka wojenna i </w:t>
            </w: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najważniejsze konflikty.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76DD0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 xml:space="preserve">Starożytna Grecja. </w:t>
            </w:r>
            <w:r w:rsidR="005929E7" w:rsidRPr="008342EA">
              <w:rPr>
                <w:rFonts w:ascii="Times New Roman" w:hAnsi="Times New Roman" w:cs="Times New Roman"/>
                <w:sz w:val="24"/>
                <w:szCs w:val="24"/>
              </w:rPr>
              <w:t xml:space="preserve">Sztuka wojenna starożytnych Greków.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929E7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Starożytni Grecy i ich wrogowie.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929E7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Italia starożytna i ekspansja Rzymu.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5929E7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Organizacja armii starożytnego Rzymu, rola i znaczenie armii w życiu politycznym i społecznym Rzymu. Reformy armii, jej doświadczenia i osiągnięcia.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2800BD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Armia rzymska w okresie cesarstwa.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2800BD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Wrogowie Rzymu. Załamanie się rzymskiego systemu obronnego i upadek Imperium.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A27" w:rsidRPr="008342EA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342EA" w:rsidRDefault="002800BD" w:rsidP="008342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342EA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F0A2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42EA" w:rsidRDefault="008342E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42EA" w:rsidRDefault="008342E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42EA" w:rsidRDefault="008342E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42EA" w:rsidRPr="008342EA" w:rsidRDefault="008342E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2800BD" w:rsidRDefault="000F0A27" w:rsidP="00A325BA">
      <w:pPr>
        <w:pStyle w:val="Bezodstpw"/>
        <w:rPr>
          <w:rFonts w:ascii="Times New Roman" w:hAnsi="Times New Roman" w:cs="Times New Roman"/>
          <w:b/>
          <w:kern w:val="1"/>
        </w:rPr>
      </w:pPr>
      <w:r w:rsidRPr="008342EA">
        <w:rPr>
          <w:rFonts w:ascii="Times New Roman" w:hAnsi="Times New Roman" w:cs="Times New Roman"/>
          <w:b/>
          <w:kern w:val="1"/>
          <w:sz w:val="24"/>
          <w:szCs w:val="24"/>
        </w:rPr>
        <w:lastRenderedPageBreak/>
        <w:t>7. Metody weryfikacji efektów uczenia się  /w odniesieniu do poszczególnych efektów</w:t>
      </w:r>
      <w:r w:rsidRPr="002800BD">
        <w:rPr>
          <w:rFonts w:ascii="Times New Roman" w:hAnsi="Times New Roman" w:cs="Times New Roman"/>
          <w:b/>
          <w:kern w:val="1"/>
        </w:rPr>
        <w:t>/</w:t>
      </w:r>
    </w:p>
    <w:p w:rsidR="000F0A27" w:rsidRPr="008342EA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2"/>
          <w:szCs w:val="22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RPr="008342EA" w:rsidTr="003A6518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Forma weryfikacji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proofErr w:type="spellStart"/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Sprawoz</w:t>
            </w:r>
            <w:r w:rsidR="003A6518"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-</w:t>
            </w: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Inne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8342EA" w:rsidRDefault="00A62A54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8342EA" w:rsidRDefault="00A62A54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8342EA" w:rsidRDefault="00A62A54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8342EA" w:rsidRDefault="00A62A54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342EA" w:rsidRDefault="000F0A27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  <w:tr w:rsidR="003A6518" w:rsidRPr="008342EA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8342EA" w:rsidRDefault="003A6518" w:rsidP="008342EA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Pr="008342EA" w:rsidRDefault="0077350A" w:rsidP="00A325BA">
      <w:pPr>
        <w:pStyle w:val="Bezodstpw"/>
        <w:rPr>
          <w:rFonts w:ascii="Times New Roman" w:hAnsi="Times New Roman" w:cs="Times New Roman"/>
          <w:iCs/>
          <w:kern w:val="1"/>
          <w:sz w:val="22"/>
          <w:szCs w:val="22"/>
        </w:rPr>
      </w:pP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E34BF7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RPr="00E34BF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E34BF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8342EA" w:rsidP="008342EA">
            <w:pPr>
              <w:pStyle w:val="Bezodstpw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Wykład połączony z prezentacją</w:t>
            </w:r>
            <w:r w:rsidR="000F0A27" w:rsidRPr="00E34BF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multimedialną</w:t>
            </w:r>
          </w:p>
        </w:tc>
      </w:tr>
    </w:tbl>
    <w:p w:rsidR="000F0A27" w:rsidRPr="00E34BF7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E34BF7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E34BF7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E34BF7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4BF7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RPr="00E34BF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6E5965" w:rsidRPr="00E34BF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65" w:rsidRPr="00E34BF7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65" w:rsidRPr="00E34BF7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0F0A27" w:rsidRPr="00E34BF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E34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Egzamin</w:t>
            </w:r>
          </w:p>
        </w:tc>
      </w:tr>
    </w:tbl>
    <w:p w:rsidR="000F0A27" w:rsidRPr="00E34BF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4BF7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RPr="00E34BF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 xml:space="preserve">Zaliczenie wykładów na podstawie </w:t>
            </w:r>
            <w:r w:rsidR="003A6518" w:rsidRPr="00E34BF7">
              <w:rPr>
                <w:rFonts w:ascii="Times New Roman" w:hAnsi="Times New Roman" w:cs="Times New Roman"/>
                <w:sz w:val="24"/>
                <w:szCs w:val="24"/>
              </w:rPr>
              <w:t>pracy zaliczeniowej</w:t>
            </w:r>
            <w:r w:rsidR="006E5965" w:rsidRPr="00E34BF7">
              <w:rPr>
                <w:rFonts w:ascii="Times New Roman" w:hAnsi="Times New Roman" w:cs="Times New Roman"/>
                <w:sz w:val="24"/>
                <w:szCs w:val="24"/>
              </w:rPr>
              <w:t xml:space="preserve"> i obserwacji postawy F1+F2</w:t>
            </w:r>
          </w:p>
        </w:tc>
      </w:tr>
      <w:tr w:rsidR="000F0A27" w:rsidRPr="00E34BF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6518" w:rsidRPr="00E34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34BF7" w:rsidRDefault="000F0A27" w:rsidP="008342E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Zaliczenie przedmiotu na</w:t>
            </w:r>
            <w:r w:rsidR="003A6518" w:rsidRPr="00E3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F7">
              <w:rPr>
                <w:rFonts w:ascii="Times New Roman" w:hAnsi="Times New Roman" w:cs="Times New Roman"/>
                <w:sz w:val="24"/>
                <w:szCs w:val="24"/>
              </w:rPr>
              <w:t>podstawie średniej ważonej P1+</w:t>
            </w:r>
            <w:r w:rsidR="00A62A54" w:rsidRPr="00E34BF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E34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0A27" w:rsidRPr="00E34BF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E34BF7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E34BF7">
        <w:rPr>
          <w:rFonts w:ascii="Times New Roman" w:hAnsi="Times New Roman" w:cs="Times New Roman"/>
          <w:kern w:val="1"/>
          <w:sz w:val="24"/>
          <w:szCs w:val="24"/>
        </w:rPr>
        <w:t>9.2. Kryteria oceny</w:t>
      </w:r>
    </w:p>
    <w:p w:rsidR="000F0A27" w:rsidRPr="00E151B8" w:rsidRDefault="000F0A27" w:rsidP="00A325BA">
      <w:pPr>
        <w:pStyle w:val="Bezodstpw"/>
        <w:rPr>
          <w:rFonts w:ascii="Times New Roman" w:hAnsi="Times New Roman" w:cs="Times New Roman"/>
          <w:kern w:val="1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E151B8" w:rsidTr="00A07BE7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</w:t>
            </w:r>
          </w:p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W_01; W_02</w:t>
            </w:r>
          </w:p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2800BD" w:rsidP="00772C5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elementarną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wiedzę faktograficzną z historii starożytnej wojskowości. Zna na podstawowym poziomie </w:t>
            </w:r>
            <w:r w:rsidR="00D4332C" w:rsidRPr="00E34BF7">
              <w:rPr>
                <w:rFonts w:ascii="Times New Roman" w:hAnsi="Times New Roman" w:cs="Times New Roman"/>
                <w:sz w:val="22"/>
                <w:szCs w:val="22"/>
              </w:rPr>
              <w:t>chociaż z pewnymi nieścisłościami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 najważniejsze postacie, pojęcia i wydarzenia.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D4332C" w:rsidP="00D4332C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elementarną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wiedzę faktograficzną z historii starożytnej wojskowości. Zna na podstawowym poziomie  najważniejsze postacie, pojęcia i wydarzenia.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772C5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poziomie wiedzę faktograficzną z historii starożytnej wojskowości. Zna na dobrym poziomie najważniejsze postacie, pojęcia i wydarzenia. W niektórych zagadnieniach potrafi wykazać się wiedzą wykraczającą poza poziom podstawowy.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poziomie wiedzę faktograficzną z historii starożytnej wojskowości. Zna na dobrym poziomie najważniejsze postacie, pojęcia i wydarzenia. W niektórych zagadnieniach potrafi rozwinąć swoją wiedzę poza poziom podstawowy.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poziomie wiedzę faktograficzną z historii starożytnej wojskowości. Zna na dobrym poziomie najważniejsze postacie, pojęcia i wydarzenia. W większości zagadnień potrafi rozwinąć swoją wiedzę poza poziom podstawowy.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lastRenderedPageBreak/>
              <w:t>U_01;</w:t>
            </w:r>
          </w:p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U_02</w:t>
            </w:r>
          </w:p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1B6948" w:rsidP="001B694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historiograficznym, który potrafi </w:t>
            </w:r>
            <w:r w:rsidR="00D4332C"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krytycznie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wykorzystać w uzasadnieniu własnego zdania i opinii. Potrafi samodzielnie 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D4332C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Student posiada elementarne umiejętności posługiwania się dorobkiem historiograficznym,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przedmiotu.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K_01;</w:t>
            </w:r>
          </w:p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K_02</w:t>
            </w:r>
          </w:p>
          <w:p w:rsidR="000F0A27" w:rsidRPr="00E151B8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D4332C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Student dostrzega</w:t>
            </w:r>
            <w:r w:rsidR="001B6948"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 zasadnicze różnice pomiędzy poszczególnymi rejonami operacyjnymi starożytności. Zdaje sobie sprawę z różnorodności procesów wpływających na rozw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>ój państw i</w:t>
            </w:r>
            <w:r w:rsidR="001B6948"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 ich systemu </w:t>
            </w:r>
            <w:r w:rsidR="001B6948"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obronnego.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t xml:space="preserve"> Ma szacunek dla dorobku starożytności i ich ponadczasowych osiągnięć.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D4332C" w:rsidP="00D4332C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zasadnicze różnice pomiędzy poszczególnymi rejonami operacyjnymi starożytności. Zdaje sobie sprawę z różnorodności procesów wpływających na rozwój państw i ich systemu obronnego. Ma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szacunek dla dorobku starożytnych  i ich ponadczasowych osiągnięć.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zasadnicze różnice pomiędzy poszczególnymi rejonami operacyjnymi starożytności. Zdaje sobie sprawę z różnorodności procesów wpływających na rozwój państw i ich systemu obronnego. Ma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szacunek dla dorobku starożytnych  i ich ponadczasowych osiągnięć.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506586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 różnice pomiędzy poszczególnymi rejonami operacyjnymi starożytności. Zna ich wpływ na rozwój cywilizacyjny regionu i potrafi je docenić. Zdaje sobie sprawę z różnorodności procesów wpływających na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rozwój państw i ich systemu obronnego. Ma szacunek dla dorobku starożytnych  i ich ponadczasowych osiągnięć.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34BF7" w:rsidRDefault="00506586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 różnice pomiędzy poszczególnymi rejonami operacyjnymi starożytności. Zna ich wpływ na rozwój cywilizacyjny regionu i potrafi je docenić. Zdaje sobie sprawę z różnorodności procesów wpływających na rozwój państw i </w:t>
            </w:r>
            <w:r w:rsidRPr="00E34B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ich systemu obronnego. Ma szacunek dla dorobku starożytnych  i ich ponadczasowych osiągnięć.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Pr="008342EA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342EA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  <w:r w:rsidR="00E151B8" w:rsidRPr="008342EA">
        <w:rPr>
          <w:rFonts w:ascii="Times New Roman" w:hAnsi="Times New Roman" w:cs="Times New Roman"/>
          <w:b/>
          <w:kern w:val="1"/>
          <w:sz w:val="24"/>
          <w:szCs w:val="24"/>
        </w:rPr>
        <w:t>.</w:t>
      </w:r>
    </w:p>
    <w:p w:rsidR="001B6948" w:rsidRPr="008342EA" w:rsidRDefault="001B6948" w:rsidP="00172315">
      <w:pPr>
        <w:spacing w:before="40" w:after="40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b/>
          <w:color w:val="252525"/>
          <w:sz w:val="24"/>
          <w:szCs w:val="24"/>
        </w:rPr>
        <w:t>Literatura podstawowa:</w:t>
      </w:r>
    </w:p>
    <w:p w:rsidR="00172315" w:rsidRPr="008342EA" w:rsidRDefault="00172315" w:rsidP="00172315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42EA">
        <w:rPr>
          <w:rFonts w:ascii="Times New Roman" w:hAnsi="Times New Roman" w:cs="Times New Roman"/>
          <w:color w:val="252525"/>
          <w:sz w:val="24"/>
          <w:szCs w:val="24"/>
        </w:rPr>
        <w:t>Creveld</w:t>
      </w:r>
      <w:proofErr w:type="spellEnd"/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 M., </w:t>
      </w:r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Dowodzenie na wojnie. Od Aleksandra do </w:t>
      </w:r>
      <w:proofErr w:type="spellStart"/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Szarona</w:t>
      </w:r>
      <w:proofErr w:type="spellEnd"/>
      <w:r w:rsidRPr="008342EA">
        <w:rPr>
          <w:rFonts w:ascii="Times New Roman" w:hAnsi="Times New Roman" w:cs="Times New Roman"/>
          <w:color w:val="252525"/>
          <w:sz w:val="24"/>
          <w:szCs w:val="24"/>
        </w:rPr>
        <w:t>, Tetragon 2014.</w:t>
      </w:r>
    </w:p>
    <w:p w:rsidR="001B6948" w:rsidRPr="008342EA" w:rsidRDefault="00172315" w:rsidP="001B6948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i/>
          <w:sz w:val="24"/>
          <w:szCs w:val="24"/>
        </w:rPr>
        <w:t>Historia sztuki wojennej</w:t>
      </w:r>
      <w:r w:rsidRPr="008342EA">
        <w:rPr>
          <w:rFonts w:ascii="Times New Roman" w:hAnsi="Times New Roman" w:cs="Times New Roman"/>
          <w:sz w:val="24"/>
          <w:szCs w:val="24"/>
        </w:rPr>
        <w:t>, red. G. Parker,  Książka i Wiedza 2008.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1B6948" w:rsidRPr="008342EA" w:rsidRDefault="001B6948" w:rsidP="001B6948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Razin E., </w:t>
      </w:r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Historia sztuki wojennej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, t.1, Sztuka wojenna okresu niewolniczego, Warszawa 1958. </w:t>
      </w:r>
    </w:p>
    <w:p w:rsidR="001B6948" w:rsidRPr="008342EA" w:rsidRDefault="001B6948" w:rsidP="001B6948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Ratajczak L., </w:t>
      </w:r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Rozwój wojskowości w państwach starożytnych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>, w: Historia wojskowości, Warszawa 1971, s. 15-37.</w:t>
      </w:r>
    </w:p>
    <w:p w:rsidR="00172315" w:rsidRPr="008342EA" w:rsidRDefault="001B6948" w:rsidP="00172315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sz w:val="24"/>
          <w:szCs w:val="24"/>
        </w:rPr>
        <w:t>Sikorski J.,</w:t>
      </w:r>
      <w:r w:rsidRPr="008342EA">
        <w:rPr>
          <w:rFonts w:ascii="Times New Roman" w:hAnsi="Times New Roman" w:cs="Times New Roman"/>
          <w:i/>
          <w:sz w:val="24"/>
          <w:szCs w:val="24"/>
        </w:rPr>
        <w:t xml:space="preserve"> Zarys historii wojskowości powszechnej do końca XIX wieku, </w:t>
      </w:r>
      <w:r w:rsidRPr="008342EA">
        <w:rPr>
          <w:rFonts w:ascii="Times New Roman" w:hAnsi="Times New Roman" w:cs="Times New Roman"/>
          <w:sz w:val="24"/>
          <w:szCs w:val="24"/>
        </w:rPr>
        <w:t>Warszawa 1975.</w:t>
      </w:r>
    </w:p>
    <w:p w:rsidR="001B6948" w:rsidRPr="008342EA" w:rsidRDefault="001B6948" w:rsidP="00172315">
      <w:pPr>
        <w:spacing w:before="40" w:after="40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b/>
          <w:color w:val="252525"/>
          <w:sz w:val="24"/>
          <w:szCs w:val="24"/>
        </w:rPr>
        <w:t>Literatura uzupełniająca:</w:t>
      </w:r>
    </w:p>
    <w:p w:rsidR="001B6948" w:rsidRPr="008342EA" w:rsidRDefault="00D83822" w:rsidP="001B6948">
      <w:pPr>
        <w:shd w:val="clear" w:color="auto" w:fill="FFFFFF"/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hyperlink r:id="rId7" w:history="1">
        <w:proofErr w:type="spellStart"/>
        <w:r w:rsidR="001B6948" w:rsidRPr="008342EA">
          <w:rPr>
            <w:rFonts w:ascii="Times New Roman" w:hAnsi="Times New Roman" w:cs="Times New Roman"/>
            <w:sz w:val="24"/>
            <w:szCs w:val="24"/>
            <w:lang w:eastAsia="pl-PL"/>
          </w:rPr>
          <w:t>Delbrück</w:t>
        </w:r>
        <w:proofErr w:type="spellEnd"/>
      </w:hyperlink>
      <w:r w:rsidR="001B6948" w:rsidRPr="008342EA">
        <w:rPr>
          <w:rFonts w:ascii="Times New Roman" w:hAnsi="Times New Roman" w:cs="Times New Roman"/>
          <w:sz w:val="24"/>
          <w:szCs w:val="24"/>
          <w:lang w:eastAsia="pl-PL"/>
        </w:rPr>
        <w:t xml:space="preserve"> H., </w:t>
      </w:r>
      <w:r w:rsidR="001B6948" w:rsidRPr="008342EA">
        <w:rPr>
          <w:rFonts w:ascii="Times New Roman" w:hAnsi="Times New Roman" w:cs="Times New Roman"/>
          <w:i/>
          <w:kern w:val="36"/>
          <w:sz w:val="24"/>
          <w:szCs w:val="24"/>
          <w:lang w:eastAsia="pl-PL"/>
        </w:rPr>
        <w:t xml:space="preserve">Antyczna sztuka wojenna. </w:t>
      </w:r>
      <w:r w:rsidR="001B6948"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>T. IV</w:t>
      </w:r>
      <w:r w:rsidR="001B6948" w:rsidRPr="008342EA">
        <w:rPr>
          <w:rFonts w:ascii="Times New Roman" w:hAnsi="Times New Roman" w:cs="Times New Roman"/>
          <w:i/>
          <w:kern w:val="36"/>
          <w:sz w:val="24"/>
          <w:szCs w:val="24"/>
          <w:lang w:eastAsia="pl-PL"/>
        </w:rPr>
        <w:t>, Kres świata antycznego</w:t>
      </w:r>
      <w:r w:rsidR="001B6948"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 xml:space="preserve">, Oświęcim 2004. </w:t>
      </w:r>
    </w:p>
    <w:p w:rsidR="001B6948" w:rsidRPr="008342EA" w:rsidRDefault="001B6948" w:rsidP="001B6948">
      <w:pPr>
        <w:shd w:val="clear" w:color="auto" w:fill="FFFFFF"/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 xml:space="preserve">Gazda D., </w:t>
      </w:r>
      <w:r w:rsidRPr="008342EA">
        <w:rPr>
          <w:rFonts w:ascii="Times New Roman" w:hAnsi="Times New Roman" w:cs="Times New Roman"/>
          <w:i/>
          <w:kern w:val="36"/>
          <w:sz w:val="24"/>
          <w:szCs w:val="24"/>
          <w:lang w:eastAsia="pl-PL"/>
        </w:rPr>
        <w:t>Armie świata antycznego. Cesarstwo rzymskie i barbarzyńcy</w:t>
      </w:r>
      <w:r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>, Warszawa 2007.</w:t>
      </w:r>
    </w:p>
    <w:p w:rsidR="001B6948" w:rsidRPr="008342EA" w:rsidRDefault="001B6948" w:rsidP="001B6948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pl-PL"/>
        </w:rPr>
      </w:pPr>
      <w:r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 xml:space="preserve">Gazda D., </w:t>
      </w:r>
      <w:r w:rsidRPr="008342EA">
        <w:rPr>
          <w:rFonts w:ascii="Times New Roman" w:hAnsi="Times New Roman" w:cs="Times New Roman"/>
          <w:i/>
          <w:kern w:val="36"/>
          <w:sz w:val="24"/>
          <w:szCs w:val="24"/>
          <w:lang w:eastAsia="pl-PL"/>
        </w:rPr>
        <w:t>Wojny domowe w Imperium Rzymskim</w:t>
      </w:r>
      <w:r w:rsidRPr="008342EA">
        <w:rPr>
          <w:rFonts w:ascii="Times New Roman" w:hAnsi="Times New Roman" w:cs="Times New Roman"/>
          <w:kern w:val="36"/>
          <w:sz w:val="24"/>
          <w:szCs w:val="24"/>
          <w:lang w:eastAsia="pl-PL"/>
        </w:rPr>
        <w:t xml:space="preserve">, Warszawa 2008. </w:t>
      </w:r>
      <w:proofErr w:type="spellStart"/>
      <w:r w:rsidRPr="008342EA">
        <w:rPr>
          <w:rFonts w:ascii="Times New Roman" w:hAnsi="Times New Roman" w:cs="Times New Roman"/>
          <w:color w:val="252525"/>
          <w:sz w:val="24"/>
          <w:szCs w:val="24"/>
        </w:rPr>
        <w:t>Goldsworth</w:t>
      </w:r>
      <w:proofErr w:type="spellEnd"/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 A., </w:t>
      </w:r>
      <w:proofErr w:type="spellStart"/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Pax</w:t>
      </w:r>
      <w:proofErr w:type="spellEnd"/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Romana. Wojna, pokój i podboje w świecie rzymskim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>, Poznań 2018.</w:t>
      </w:r>
    </w:p>
    <w:p w:rsidR="001B6948" w:rsidRPr="008342EA" w:rsidRDefault="00172315" w:rsidP="005929E7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Pasiut W., </w:t>
      </w:r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Nie tylko pod Salaminą. Wojny morskie Hellady do 355 </w:t>
      </w:r>
      <w:proofErr w:type="spellStart"/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r.p.n.e</w:t>
      </w:r>
      <w:proofErr w:type="spellEnd"/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.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>, Warszawa 2015.</w:t>
      </w:r>
    </w:p>
    <w:p w:rsidR="001B6948" w:rsidRPr="008342EA" w:rsidRDefault="00172315" w:rsidP="005929E7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8342EA">
        <w:rPr>
          <w:rFonts w:ascii="Times New Roman" w:hAnsi="Times New Roman" w:cs="Times New Roman"/>
          <w:color w:val="252525"/>
          <w:sz w:val="24"/>
          <w:szCs w:val="24"/>
        </w:rPr>
        <w:t>Rochala</w:t>
      </w:r>
      <w:proofErr w:type="spellEnd"/>
      <w:r w:rsidRPr="008342EA">
        <w:rPr>
          <w:rFonts w:ascii="Times New Roman" w:hAnsi="Times New Roman" w:cs="Times New Roman"/>
          <w:color w:val="252525"/>
          <w:sz w:val="24"/>
          <w:szCs w:val="24"/>
        </w:rPr>
        <w:t xml:space="preserve"> P., </w:t>
      </w:r>
      <w:r w:rsidRPr="008342EA">
        <w:rPr>
          <w:rFonts w:ascii="Times New Roman" w:hAnsi="Times New Roman" w:cs="Times New Roman"/>
          <w:i/>
          <w:color w:val="252525"/>
          <w:sz w:val="24"/>
          <w:szCs w:val="24"/>
        </w:rPr>
        <w:t>Imperium u progu zagłady. Najazd Cymbrów i Teutonów</w:t>
      </w:r>
      <w:r w:rsidRPr="008342EA">
        <w:rPr>
          <w:rFonts w:ascii="Times New Roman" w:hAnsi="Times New Roman" w:cs="Times New Roman"/>
          <w:color w:val="252525"/>
          <w:sz w:val="24"/>
          <w:szCs w:val="24"/>
        </w:rPr>
        <w:t>, Warszawa 2007.</w:t>
      </w:r>
    </w:p>
    <w:p w:rsidR="005929E7" w:rsidRPr="008342EA" w:rsidRDefault="00172315" w:rsidP="005929E7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sz w:val="24"/>
          <w:szCs w:val="24"/>
        </w:rPr>
        <w:t xml:space="preserve">Tukidydes, </w:t>
      </w:r>
      <w:r w:rsidRPr="008342EA">
        <w:rPr>
          <w:rFonts w:ascii="Times New Roman" w:hAnsi="Times New Roman" w:cs="Times New Roman"/>
          <w:i/>
          <w:sz w:val="24"/>
          <w:szCs w:val="24"/>
        </w:rPr>
        <w:t>Wojna peloponeska</w:t>
      </w:r>
      <w:r w:rsidRPr="008342EA">
        <w:rPr>
          <w:rFonts w:ascii="Times New Roman" w:hAnsi="Times New Roman" w:cs="Times New Roman"/>
          <w:sz w:val="24"/>
          <w:szCs w:val="24"/>
        </w:rPr>
        <w:t xml:space="preserve">, Warszawa 1988.  </w:t>
      </w:r>
    </w:p>
    <w:p w:rsidR="00172315" w:rsidRPr="008342EA" w:rsidRDefault="00172315" w:rsidP="005929E7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8342EA">
        <w:rPr>
          <w:rFonts w:ascii="Times New Roman" w:hAnsi="Times New Roman" w:cs="Times New Roman"/>
          <w:sz w:val="24"/>
          <w:szCs w:val="24"/>
        </w:rPr>
        <w:t xml:space="preserve">Watson G.R., </w:t>
      </w:r>
      <w:r w:rsidRPr="008342EA">
        <w:rPr>
          <w:rFonts w:ascii="Times New Roman" w:hAnsi="Times New Roman" w:cs="Times New Roman"/>
          <w:i/>
          <w:sz w:val="24"/>
          <w:szCs w:val="24"/>
        </w:rPr>
        <w:t>Żołnierz rzymski</w:t>
      </w:r>
      <w:r w:rsidRPr="008342EA">
        <w:rPr>
          <w:rFonts w:ascii="Times New Roman" w:hAnsi="Times New Roman" w:cs="Times New Roman"/>
          <w:sz w:val="24"/>
          <w:szCs w:val="24"/>
        </w:rPr>
        <w:t>, Oświęcim 2014.</w:t>
      </w: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8342EA" w:rsidRDefault="008342EA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07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834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6E5965">
              <w:rPr>
                <w:rFonts w:ascii="Times New Roman" w:hAnsi="Times New Roman"/>
                <w:sz w:val="24"/>
                <w:szCs w:val="24"/>
              </w:rPr>
              <w:t>, F3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8342EA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A62A5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8342EA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8342EA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1434F5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E34BF7" w:rsidRDefault="00E34BF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Calibri"/>
                <w:b/>
                <w:bCs/>
                <w:iCs/>
                <w:kern w:val="1"/>
                <w:sz w:val="24"/>
                <w:szCs w:val="24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19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34BF7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 w:rsidRPr="00E34BF7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DCA" w:rsidRDefault="00E741B3" w:rsidP="004A5DC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Lucjan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</w:t>
      </w:r>
      <w:proofErr w:type="spellEnd"/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b/>
          <w:sz w:val="24"/>
          <w:szCs w:val="24"/>
        </w:rPr>
        <w:tab/>
      </w:r>
      <w:r w:rsidR="004A5DCA">
        <w:rPr>
          <w:rFonts w:ascii="Times New Roman" w:hAnsi="Times New Roman" w:cs="Times New Roman"/>
          <w:sz w:val="24"/>
          <w:szCs w:val="24"/>
        </w:rPr>
        <w:t>dr Irena Kozimala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6675EF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8342EA">
        <w:rPr>
          <w:rFonts w:ascii="Times New Roman" w:hAnsi="Times New Roman" w:cs="Times New Roman"/>
          <w:sz w:val="24"/>
          <w:szCs w:val="24"/>
        </w:rPr>
        <w:t>2019r.</w:t>
      </w:r>
    </w:p>
    <w:sectPr w:rsidR="00691641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DC" w:rsidRDefault="00A479DC" w:rsidP="00E34BF7">
      <w:r>
        <w:separator/>
      </w:r>
    </w:p>
  </w:endnote>
  <w:endnote w:type="continuationSeparator" w:id="0">
    <w:p w:rsidR="00A479DC" w:rsidRDefault="00A479DC" w:rsidP="00E3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947"/>
      <w:docPartObj>
        <w:docPartGallery w:val="Page Numbers (Bottom of Page)"/>
        <w:docPartUnique/>
      </w:docPartObj>
    </w:sdtPr>
    <w:sdtContent>
      <w:p w:rsidR="00E34BF7" w:rsidRDefault="00D83822">
        <w:pPr>
          <w:pStyle w:val="Stopka"/>
          <w:jc w:val="right"/>
        </w:pPr>
        <w:r>
          <w:rPr>
            <w:noProof/>
          </w:rPr>
          <w:fldChar w:fldCharType="begin"/>
        </w:r>
        <w:r w:rsidR="00B232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5D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34BF7" w:rsidRDefault="00E34B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DC" w:rsidRDefault="00A479DC" w:rsidP="00E34BF7">
      <w:r>
        <w:separator/>
      </w:r>
    </w:p>
  </w:footnote>
  <w:footnote w:type="continuationSeparator" w:id="0">
    <w:p w:rsidR="00A479DC" w:rsidRDefault="00A479DC" w:rsidP="00E3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1746B"/>
    <w:rsid w:val="0006032C"/>
    <w:rsid w:val="0006334D"/>
    <w:rsid w:val="00073F69"/>
    <w:rsid w:val="00087274"/>
    <w:rsid w:val="000A058A"/>
    <w:rsid w:val="000A681E"/>
    <w:rsid w:val="000A6C1A"/>
    <w:rsid w:val="000C5FAE"/>
    <w:rsid w:val="000F0A27"/>
    <w:rsid w:val="00101145"/>
    <w:rsid w:val="001064AD"/>
    <w:rsid w:val="00116A7B"/>
    <w:rsid w:val="00134481"/>
    <w:rsid w:val="00152632"/>
    <w:rsid w:val="001678DB"/>
    <w:rsid w:val="00172315"/>
    <w:rsid w:val="00186357"/>
    <w:rsid w:val="001A6022"/>
    <w:rsid w:val="001A7A71"/>
    <w:rsid w:val="001B6948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800BD"/>
    <w:rsid w:val="002C012C"/>
    <w:rsid w:val="002C5143"/>
    <w:rsid w:val="002E408B"/>
    <w:rsid w:val="002F1813"/>
    <w:rsid w:val="003114C8"/>
    <w:rsid w:val="0031673E"/>
    <w:rsid w:val="00322199"/>
    <w:rsid w:val="00325C05"/>
    <w:rsid w:val="00333F95"/>
    <w:rsid w:val="00346007"/>
    <w:rsid w:val="00352EDD"/>
    <w:rsid w:val="00370678"/>
    <w:rsid w:val="00391D8F"/>
    <w:rsid w:val="003A6518"/>
    <w:rsid w:val="003F0480"/>
    <w:rsid w:val="00401E10"/>
    <w:rsid w:val="00405276"/>
    <w:rsid w:val="0042479F"/>
    <w:rsid w:val="00447D83"/>
    <w:rsid w:val="00456D5A"/>
    <w:rsid w:val="00457934"/>
    <w:rsid w:val="0046537D"/>
    <w:rsid w:val="004A109A"/>
    <w:rsid w:val="004A5DCA"/>
    <w:rsid w:val="004E7EFE"/>
    <w:rsid w:val="004F2E00"/>
    <w:rsid w:val="005035DD"/>
    <w:rsid w:val="00506586"/>
    <w:rsid w:val="0051469C"/>
    <w:rsid w:val="00527996"/>
    <w:rsid w:val="00533F98"/>
    <w:rsid w:val="00544620"/>
    <w:rsid w:val="005465E2"/>
    <w:rsid w:val="00570B19"/>
    <w:rsid w:val="00576DD0"/>
    <w:rsid w:val="00592208"/>
    <w:rsid w:val="005929E7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675EF"/>
    <w:rsid w:val="00675224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5965"/>
    <w:rsid w:val="006E77B5"/>
    <w:rsid w:val="006E7E1F"/>
    <w:rsid w:val="0070318A"/>
    <w:rsid w:val="00714D39"/>
    <w:rsid w:val="00720010"/>
    <w:rsid w:val="00752EA2"/>
    <w:rsid w:val="007551DF"/>
    <w:rsid w:val="00772C53"/>
    <w:rsid w:val="0077350A"/>
    <w:rsid w:val="00775444"/>
    <w:rsid w:val="00781B31"/>
    <w:rsid w:val="00782138"/>
    <w:rsid w:val="007864CB"/>
    <w:rsid w:val="007A0A68"/>
    <w:rsid w:val="007B2D3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342EA"/>
    <w:rsid w:val="00847DD8"/>
    <w:rsid w:val="00860629"/>
    <w:rsid w:val="00862D08"/>
    <w:rsid w:val="00870B15"/>
    <w:rsid w:val="00882125"/>
    <w:rsid w:val="008959E7"/>
    <w:rsid w:val="008A1D49"/>
    <w:rsid w:val="008A456A"/>
    <w:rsid w:val="008A74C9"/>
    <w:rsid w:val="008B06C0"/>
    <w:rsid w:val="008B35B0"/>
    <w:rsid w:val="008D3D26"/>
    <w:rsid w:val="008E69F3"/>
    <w:rsid w:val="008F0C98"/>
    <w:rsid w:val="008F432A"/>
    <w:rsid w:val="00900036"/>
    <w:rsid w:val="00904A98"/>
    <w:rsid w:val="00904EFD"/>
    <w:rsid w:val="009744DA"/>
    <w:rsid w:val="00997D3C"/>
    <w:rsid w:val="009A79FB"/>
    <w:rsid w:val="009C479E"/>
    <w:rsid w:val="009C6192"/>
    <w:rsid w:val="009D1779"/>
    <w:rsid w:val="009E19E2"/>
    <w:rsid w:val="009E5018"/>
    <w:rsid w:val="00A325BA"/>
    <w:rsid w:val="00A479DC"/>
    <w:rsid w:val="00A62A54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11738"/>
    <w:rsid w:val="00B2324F"/>
    <w:rsid w:val="00B405A8"/>
    <w:rsid w:val="00B52018"/>
    <w:rsid w:val="00B60BB9"/>
    <w:rsid w:val="00B84E60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75268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332C"/>
    <w:rsid w:val="00D47CB7"/>
    <w:rsid w:val="00D513FD"/>
    <w:rsid w:val="00D55223"/>
    <w:rsid w:val="00D65BE9"/>
    <w:rsid w:val="00D83822"/>
    <w:rsid w:val="00D915CD"/>
    <w:rsid w:val="00D93BBA"/>
    <w:rsid w:val="00DA0B13"/>
    <w:rsid w:val="00DB421A"/>
    <w:rsid w:val="00DC78F6"/>
    <w:rsid w:val="00DE1EDA"/>
    <w:rsid w:val="00DF543D"/>
    <w:rsid w:val="00E00356"/>
    <w:rsid w:val="00E151B8"/>
    <w:rsid w:val="00E34BF7"/>
    <w:rsid w:val="00E406FE"/>
    <w:rsid w:val="00E55D1A"/>
    <w:rsid w:val="00E56A9D"/>
    <w:rsid w:val="00E60510"/>
    <w:rsid w:val="00E62121"/>
    <w:rsid w:val="00E7030A"/>
    <w:rsid w:val="00E7155E"/>
    <w:rsid w:val="00E741B3"/>
    <w:rsid w:val="00E8380A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4228"/>
    <w:rsid w:val="00F12F01"/>
    <w:rsid w:val="00F1791A"/>
    <w:rsid w:val="00F439CB"/>
    <w:rsid w:val="00F75F25"/>
    <w:rsid w:val="00F80FD1"/>
    <w:rsid w:val="00F85A18"/>
    <w:rsid w:val="00F87FFD"/>
    <w:rsid w:val="00FB0CE1"/>
    <w:rsid w:val="00FB15F3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5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34BF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BF7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4BF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BF7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ubimyczytac.pl/autor/84816/hans-delbru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14</cp:revision>
  <cp:lastPrinted>2019-09-09T20:09:00Z</cp:lastPrinted>
  <dcterms:created xsi:type="dcterms:W3CDTF">2019-07-14T20:14:00Z</dcterms:created>
  <dcterms:modified xsi:type="dcterms:W3CDTF">2021-03-23T13:08:00Z</dcterms:modified>
</cp:coreProperties>
</file>