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CA" w:rsidRPr="00022668" w:rsidRDefault="00F407A5" w:rsidP="00A428CA">
      <w:pPr>
        <w:spacing w:after="0" w:line="240" w:lineRule="auto"/>
        <w:jc w:val="center"/>
        <w:rPr>
          <w:b/>
          <w:color w:val="4F81BD" w:themeColor="accent1"/>
          <w:sz w:val="28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t>Od 1 września 2019 r.  Państwowa Wyższa Szkoła Wschodnioeuropejska w Przemyślu realizuje nowy projekt</w:t>
      </w:r>
    </w:p>
    <w:p w:rsidR="00F407A5" w:rsidRDefault="00F407A5" w:rsidP="00B94DAC">
      <w:pPr>
        <w:spacing w:after="120"/>
        <w:jc w:val="center"/>
        <w:rPr>
          <w:b/>
          <w:color w:val="4F81BD" w:themeColor="accent1"/>
          <w:sz w:val="32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bookmarkStart w:id="0" w:name="_GoBack"/>
      <w:bookmarkEnd w:id="0"/>
    </w:p>
    <w:p w:rsidR="00A428CA" w:rsidRPr="009E6A79" w:rsidRDefault="005C3FDC" w:rsidP="00B94DAC">
      <w:pPr>
        <w:spacing w:after="120"/>
        <w:jc w:val="center"/>
        <w:rPr>
          <w:b/>
          <w:color w:val="4F81BD" w:themeColor="accent1"/>
          <w:sz w:val="32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>
        <w:rPr>
          <w:b/>
          <w:color w:val="4F81BD" w:themeColor="accent1"/>
          <w:sz w:val="32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</w:t>
      </w:r>
      <w:r w:rsidR="00A428CA" w:rsidRPr="009E6A79">
        <w:rPr>
          <w:b/>
          <w:color w:val="4F81BD" w:themeColor="accent1"/>
          <w:sz w:val="32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„Kompleksowy program wsparcia dla studentów oraz</w:t>
      </w:r>
      <w:r>
        <w:rPr>
          <w:b/>
          <w:color w:val="4F81BD" w:themeColor="accent1"/>
          <w:sz w:val="32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 xml:space="preserve"> kadry </w:t>
      </w:r>
      <w:r w:rsidR="00A428CA" w:rsidRPr="009E6A79">
        <w:rPr>
          <w:b/>
          <w:color w:val="4F81BD" w:themeColor="accent1"/>
          <w:sz w:val="32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  <w:t>publicznej uczelni zawodowej w Przemyślu”</w:t>
      </w:r>
    </w:p>
    <w:p w:rsidR="00A428CA" w:rsidRPr="00547321" w:rsidRDefault="00A428CA" w:rsidP="00A428CA">
      <w:pPr>
        <w:spacing w:after="120"/>
        <w:jc w:val="both"/>
        <w:rPr>
          <w:b/>
          <w:color w:val="C00000"/>
          <w:sz w:val="24"/>
          <w:szCs w:val="2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A428CA" w:rsidRPr="008A2012" w:rsidRDefault="00A428CA" w:rsidP="00A428CA">
      <w:pPr>
        <w:spacing w:after="0"/>
        <w:jc w:val="both"/>
        <w:rPr>
          <w:sz w:val="24"/>
          <w:szCs w:val="24"/>
        </w:rPr>
      </w:pPr>
      <w:r w:rsidRPr="008A2012">
        <w:rPr>
          <w:sz w:val="24"/>
          <w:szCs w:val="24"/>
        </w:rPr>
        <w:t>Program Operacyjny Wiedza Edukacja Rozwój</w:t>
      </w:r>
    </w:p>
    <w:p w:rsidR="00A428CA" w:rsidRPr="008A2012" w:rsidRDefault="00A428CA" w:rsidP="00A428CA">
      <w:pPr>
        <w:spacing w:after="0"/>
        <w:jc w:val="both"/>
        <w:rPr>
          <w:sz w:val="24"/>
          <w:szCs w:val="24"/>
        </w:rPr>
      </w:pPr>
      <w:r w:rsidRPr="008A2012">
        <w:rPr>
          <w:sz w:val="24"/>
          <w:szCs w:val="24"/>
        </w:rPr>
        <w:t>Priorytet: III. Szkolnictwo wyższe dla gospodarki i rozwoju</w:t>
      </w:r>
    </w:p>
    <w:p w:rsidR="00A428CA" w:rsidRPr="008A2012" w:rsidRDefault="00A428CA" w:rsidP="00A428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Działanie: 3.5</w:t>
      </w:r>
      <w:r w:rsidRPr="008A2012">
        <w:rPr>
          <w:sz w:val="24"/>
          <w:szCs w:val="24"/>
        </w:rPr>
        <w:t xml:space="preserve"> </w:t>
      </w:r>
      <w:r w:rsidRPr="00A428CA">
        <w:rPr>
          <w:sz w:val="24"/>
          <w:szCs w:val="24"/>
        </w:rPr>
        <w:t>Kompleksowe programy szkół wyższych</w:t>
      </w:r>
    </w:p>
    <w:p w:rsidR="00A428CA" w:rsidRDefault="00A428CA" w:rsidP="00A428CA">
      <w:pPr>
        <w:spacing w:after="120" w:line="240" w:lineRule="auto"/>
        <w:jc w:val="both"/>
        <w:rPr>
          <w:b/>
          <w:sz w:val="24"/>
          <w:szCs w:val="24"/>
        </w:rPr>
      </w:pPr>
      <w:r w:rsidRPr="00636F1C">
        <w:t>Nr Projektu:</w:t>
      </w:r>
      <w:r>
        <w:t xml:space="preserve"> </w:t>
      </w:r>
      <w:r w:rsidRPr="009A5EA3">
        <w:t>POWR.03.05.00-00-z100/18</w:t>
      </w:r>
    </w:p>
    <w:p w:rsidR="00A428CA" w:rsidRPr="008A2012" w:rsidRDefault="00A428CA" w:rsidP="00A428CA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 w:rsidRPr="008360F2">
        <w:rPr>
          <w:rFonts w:cs="Verdana"/>
          <w:b/>
          <w:sz w:val="24"/>
          <w:szCs w:val="24"/>
        </w:rPr>
        <w:t>Wartość projektu</w:t>
      </w:r>
      <w:r w:rsidRPr="006C2741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2 236 086,44 zł</w:t>
      </w:r>
    </w:p>
    <w:p w:rsidR="00A428CA" w:rsidRPr="008360F2" w:rsidRDefault="00A428CA" w:rsidP="00A428CA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  <w:r>
        <w:rPr>
          <w:rFonts w:cs="Verdana"/>
          <w:b/>
          <w:sz w:val="24"/>
          <w:szCs w:val="24"/>
        </w:rPr>
        <w:t>Kwota dofinansowania p</w:t>
      </w:r>
      <w:r w:rsidRPr="008360F2">
        <w:rPr>
          <w:rFonts w:cs="Verdana"/>
          <w:b/>
          <w:sz w:val="24"/>
          <w:szCs w:val="24"/>
        </w:rPr>
        <w:t>rojektu z UE</w:t>
      </w:r>
      <w:r>
        <w:rPr>
          <w:rFonts w:cs="Verdana"/>
          <w:sz w:val="24"/>
          <w:szCs w:val="24"/>
        </w:rPr>
        <w:t>: 2  118 636,44 z</w:t>
      </w:r>
      <w:r w:rsidR="009834DB">
        <w:rPr>
          <w:rFonts w:cs="Verdana"/>
          <w:sz w:val="24"/>
          <w:szCs w:val="24"/>
        </w:rPr>
        <w:t>ł</w:t>
      </w:r>
    </w:p>
    <w:p w:rsidR="00A428CA" w:rsidRPr="00022668" w:rsidRDefault="00A428CA" w:rsidP="00A428CA">
      <w:pPr>
        <w:spacing w:after="120" w:line="240" w:lineRule="auto"/>
        <w:jc w:val="both"/>
        <w:rPr>
          <w:b/>
          <w:color w:val="365F91" w:themeColor="accent1" w:themeShade="BF"/>
          <w:sz w:val="24"/>
          <w:szCs w:val="24"/>
        </w:rPr>
      </w:pPr>
    </w:p>
    <w:p w:rsidR="00A428CA" w:rsidRPr="00022668" w:rsidRDefault="00A428CA" w:rsidP="00A428CA">
      <w:pPr>
        <w:spacing w:after="120" w:line="240" w:lineRule="auto"/>
        <w:jc w:val="both"/>
        <w:rPr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022668">
        <w:rPr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OKRES REALIZACJI PROJEKTU:</w:t>
      </w:r>
    </w:p>
    <w:p w:rsidR="00A428CA" w:rsidRPr="002F5D27" w:rsidRDefault="00A428CA" w:rsidP="00A428CA">
      <w:pPr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od 01.09.2019</w:t>
      </w:r>
      <w:r w:rsidRPr="002F5D27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do 31.12.2022</w:t>
      </w:r>
      <w:r w:rsidRPr="002F5D27">
        <w:rPr>
          <w:sz w:val="24"/>
          <w:szCs w:val="24"/>
        </w:rPr>
        <w:t xml:space="preserve"> r.</w:t>
      </w:r>
    </w:p>
    <w:p w:rsidR="00A428CA" w:rsidRPr="00022668" w:rsidRDefault="00A428CA" w:rsidP="00A428CA">
      <w:pPr>
        <w:spacing w:after="120" w:line="240" w:lineRule="auto"/>
        <w:jc w:val="both"/>
        <w:rPr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022668">
        <w:rPr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CEL GŁÓWNY PROJEKTU:</w:t>
      </w:r>
    </w:p>
    <w:p w:rsidR="00B94DAC" w:rsidRPr="00B94DAC" w:rsidRDefault="00B94DAC" w:rsidP="00B94DAC">
      <w:pPr>
        <w:spacing w:after="60" w:line="240" w:lineRule="auto"/>
        <w:jc w:val="both"/>
      </w:pPr>
      <w:r>
        <w:rPr>
          <w:rFonts w:ascii="Calibri" w:eastAsia="Calibri" w:hAnsi="Calibri" w:cs="Cambria"/>
        </w:rPr>
        <w:t>Celem głównym projektu</w:t>
      </w:r>
      <w:r w:rsidRPr="00B94DAC">
        <w:rPr>
          <w:rFonts w:ascii="Calibri" w:eastAsia="Calibri" w:hAnsi="Calibri" w:cs="Cambria"/>
        </w:rPr>
        <w:t xml:space="preserve"> jest </w:t>
      </w:r>
      <w:r w:rsidRPr="00B94DAC">
        <w:t xml:space="preserve">podniesienie kompetencji  Studentów/Studentek  Państwowej Wyższej Szkoły Wschodnioeuropejskiej w Przemyślu, odpowiadających potrzebom gospodarki,  rynku pracy </w:t>
      </w:r>
      <w:r>
        <w:br/>
      </w:r>
      <w:r w:rsidRPr="00B94DAC">
        <w:t>i społeczeństwa</w:t>
      </w:r>
      <w:r>
        <w:t xml:space="preserve">, a także </w:t>
      </w:r>
      <w:r w:rsidRPr="00B94DAC">
        <w:rPr>
          <w:rFonts w:ascii="Calibri" w:eastAsia="Calibri" w:hAnsi="Calibri" w:cs="Cambria"/>
        </w:rPr>
        <w:t>podniesienie kompetencji dydaktycznych kadry dydaktycznej oraz podniesienie kompetencji zarządczych kadry kierowniczej i administracyjnej PWSW w Przemyślu.</w:t>
      </w:r>
    </w:p>
    <w:p w:rsidR="00A428CA" w:rsidRDefault="00A428CA" w:rsidP="00A428CA">
      <w:pPr>
        <w:spacing w:after="0" w:line="240" w:lineRule="auto"/>
        <w:jc w:val="both"/>
        <w:rPr>
          <w:sz w:val="24"/>
          <w:szCs w:val="24"/>
        </w:rPr>
      </w:pPr>
    </w:p>
    <w:p w:rsidR="00A428CA" w:rsidRPr="0072016C" w:rsidRDefault="00A428CA" w:rsidP="00A428CA">
      <w:pPr>
        <w:spacing w:after="0" w:line="240" w:lineRule="auto"/>
        <w:jc w:val="both"/>
        <w:rPr>
          <w:sz w:val="24"/>
          <w:szCs w:val="24"/>
        </w:rPr>
      </w:pPr>
    </w:p>
    <w:p w:rsidR="00A428CA" w:rsidRPr="00022668" w:rsidRDefault="00A428CA" w:rsidP="00A428CA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022668">
        <w:rPr>
          <w:rFonts w:cs="Verdana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GRUPA DOCELOWA:</w:t>
      </w:r>
    </w:p>
    <w:p w:rsidR="00B94DAC" w:rsidRDefault="005C3FDC" w:rsidP="00B94DAC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210 </w:t>
      </w:r>
      <w:r w:rsidR="00B94DAC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tudentów/Studentek</w:t>
      </w:r>
      <w:r w:rsidR="00B94DAC" w:rsidRPr="00B94DAC">
        <w:rPr>
          <w:rFonts w:ascii="Calibri" w:hAnsi="Calibri" w:cs="Calibri"/>
          <w:sz w:val="24"/>
          <w:szCs w:val="24"/>
        </w:rPr>
        <w:t xml:space="preserve"> czterech ostatnich semestrów studiów stacjo</w:t>
      </w:r>
      <w:r w:rsidR="00B94DAC">
        <w:rPr>
          <w:rFonts w:ascii="Calibri" w:hAnsi="Calibri" w:cs="Calibri"/>
          <w:sz w:val="24"/>
          <w:szCs w:val="24"/>
        </w:rPr>
        <w:t>narnych I stopnia, z kierunków:</w:t>
      </w:r>
    </w:p>
    <w:p w:rsidR="00B94DAC" w:rsidRP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>Architektura wnętrz,</w:t>
      </w:r>
    </w:p>
    <w:p w:rsidR="00B94DAC" w:rsidRP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 xml:space="preserve">Projektowanie graficzne, </w:t>
      </w:r>
    </w:p>
    <w:p w:rsid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 xml:space="preserve">Stosunki międzynarodowe, </w:t>
      </w:r>
    </w:p>
    <w:p w:rsid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 xml:space="preserve">Socjologia, </w:t>
      </w:r>
    </w:p>
    <w:p w:rsid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>Historia,</w:t>
      </w:r>
    </w:p>
    <w:p w:rsid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>Filologia polska,</w:t>
      </w:r>
    </w:p>
    <w:p w:rsid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 xml:space="preserve">Filologia angielska, </w:t>
      </w:r>
    </w:p>
    <w:p w:rsid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 xml:space="preserve">Inżynieria produkcji kosmetyków i suplementów, </w:t>
      </w:r>
    </w:p>
    <w:p w:rsid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 xml:space="preserve">Bezpieczeństwo i produkcja żywności, </w:t>
      </w:r>
    </w:p>
    <w:p w:rsidR="00B94DAC" w:rsidRPr="00B94DAC" w:rsidRDefault="00B94DAC" w:rsidP="00B94DAC">
      <w:pPr>
        <w:pStyle w:val="Akapitzlist"/>
        <w:numPr>
          <w:ilvl w:val="0"/>
          <w:numId w:val="14"/>
        </w:numPr>
        <w:ind w:left="993" w:hanging="284"/>
        <w:rPr>
          <w:rFonts w:ascii="Calibri" w:hAnsi="Calibri" w:cs="Calibri"/>
          <w:sz w:val="24"/>
          <w:szCs w:val="24"/>
        </w:rPr>
      </w:pPr>
      <w:r w:rsidRPr="00B94DAC">
        <w:rPr>
          <w:rFonts w:ascii="Calibri" w:hAnsi="Calibri" w:cs="Calibri"/>
          <w:sz w:val="24"/>
          <w:szCs w:val="24"/>
        </w:rPr>
        <w:t xml:space="preserve">Inżynieria transportu i logistyki, </w:t>
      </w:r>
    </w:p>
    <w:p w:rsidR="00B94DAC" w:rsidRDefault="00B94DAC" w:rsidP="00B94DAC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Pr="00B94DAC">
        <w:rPr>
          <w:rFonts w:ascii="Calibri" w:hAnsi="Calibri" w:cs="Calibri"/>
          <w:sz w:val="24"/>
          <w:szCs w:val="24"/>
        </w:rPr>
        <w:t>adra dydaktyczna PWSW</w:t>
      </w:r>
      <w:r w:rsidR="005C3FDC">
        <w:rPr>
          <w:rFonts w:ascii="Calibri" w:hAnsi="Calibri" w:cs="Calibri"/>
          <w:sz w:val="24"/>
          <w:szCs w:val="24"/>
        </w:rPr>
        <w:t xml:space="preserve"> – 10 osób</w:t>
      </w:r>
      <w:r w:rsidRPr="00B94DAC">
        <w:rPr>
          <w:rFonts w:ascii="Calibri" w:hAnsi="Calibri" w:cs="Calibri"/>
          <w:sz w:val="24"/>
          <w:szCs w:val="24"/>
        </w:rPr>
        <w:t xml:space="preserve">, </w:t>
      </w:r>
    </w:p>
    <w:p w:rsidR="00B94DAC" w:rsidRPr="00B94DAC" w:rsidRDefault="00B94DAC" w:rsidP="00B94DAC">
      <w:pPr>
        <w:pStyle w:val="Akapitzlist"/>
        <w:numPr>
          <w:ilvl w:val="0"/>
          <w:numId w:val="1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Pr="00B94DAC">
        <w:rPr>
          <w:rFonts w:ascii="Calibri" w:hAnsi="Calibri" w:cs="Calibri"/>
          <w:sz w:val="24"/>
          <w:szCs w:val="24"/>
        </w:rPr>
        <w:t>adra zarządzająca i administracyjna PWSW</w:t>
      </w:r>
      <w:r w:rsidR="005C3FDC">
        <w:rPr>
          <w:rFonts w:ascii="Calibri" w:hAnsi="Calibri" w:cs="Calibri"/>
          <w:sz w:val="24"/>
          <w:szCs w:val="24"/>
        </w:rPr>
        <w:t xml:space="preserve"> – 7 osób</w:t>
      </w:r>
    </w:p>
    <w:p w:rsidR="00B94DAC" w:rsidRPr="00B94DAC" w:rsidRDefault="00B94DAC" w:rsidP="00B94DAC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B94DAC" w:rsidRPr="00800DFE" w:rsidRDefault="00B94DAC" w:rsidP="00B94DAC">
      <w:pPr>
        <w:pStyle w:val="Akapitzlist"/>
        <w:spacing w:after="120"/>
        <w:ind w:left="714"/>
        <w:jc w:val="both"/>
        <w:rPr>
          <w:rFonts w:ascii="Calibri" w:hAnsi="Calibri" w:cs="Calibri"/>
          <w:sz w:val="24"/>
        </w:rPr>
      </w:pPr>
    </w:p>
    <w:p w:rsidR="00A428CA" w:rsidRDefault="00A428CA" w:rsidP="00A428CA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A428CA" w:rsidRDefault="00773D28" w:rsidP="00A428CA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sz w:val="24"/>
          <w:szCs w:val="24"/>
        </w:rPr>
      </w:pPr>
      <w:r>
        <w:rPr>
          <w:rFonts w:cs="Verdana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FORMY WSPARCIA dla</w:t>
      </w:r>
      <w:r w:rsidR="009E6A79">
        <w:rPr>
          <w:rFonts w:cs="Verdana"/>
          <w:b/>
          <w:sz w:val="24"/>
          <w:szCs w:val="24"/>
        </w:rPr>
        <w:t xml:space="preserve"> </w:t>
      </w:r>
      <w:r w:rsidR="00A428CA" w:rsidRPr="00547321">
        <w:rPr>
          <w:rFonts w:cs="Verdana"/>
          <w:b/>
          <w:color w:val="C00000"/>
          <w:sz w:val="24"/>
          <w:szCs w:val="24"/>
        </w:rPr>
        <w:t>Studentów</w:t>
      </w:r>
      <w:r w:rsidR="00A428CA">
        <w:rPr>
          <w:rFonts w:cs="Verdana"/>
          <w:b/>
          <w:color w:val="C00000"/>
          <w:sz w:val="24"/>
          <w:szCs w:val="24"/>
        </w:rPr>
        <w:t>/Studentek</w:t>
      </w:r>
    </w:p>
    <w:p w:rsidR="009E6A79" w:rsidRPr="009E6A79" w:rsidRDefault="009E6A79" w:rsidP="00773D28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9E6A79">
        <w:t>Bilans kompetencji,</w:t>
      </w:r>
    </w:p>
    <w:p w:rsidR="009E6A79" w:rsidRPr="009E6A79" w:rsidRDefault="009E6A79" w:rsidP="00773D28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9E6A79">
        <w:t>Certyfikowane szkolenia  zawodowe,</w:t>
      </w:r>
    </w:p>
    <w:p w:rsidR="009E6A79" w:rsidRPr="009E6A79" w:rsidRDefault="009E6A79" w:rsidP="00773D28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9E6A79">
        <w:t>Zadania praktyczne realizowane w formie projektowej - warsztaty prowadzone przez eksp</w:t>
      </w:r>
      <w:r>
        <w:t xml:space="preserve">erta ze strony Uczelni oraz </w:t>
      </w:r>
      <w:r w:rsidRPr="009E6A79">
        <w:t>Pracodawcy,</w:t>
      </w:r>
    </w:p>
    <w:p w:rsidR="009E6A79" w:rsidRPr="00773D28" w:rsidRDefault="009E6A79" w:rsidP="00773D28">
      <w:pPr>
        <w:numPr>
          <w:ilvl w:val="0"/>
          <w:numId w:val="18"/>
        </w:numPr>
        <w:spacing w:after="0"/>
      </w:pPr>
      <w:r w:rsidRPr="009E6A79">
        <w:t>Wizyty studyjne w  firmach i przedsiębiorstwach różnych branż związanych z poszczególnymi kierunkami studiów.</w:t>
      </w:r>
    </w:p>
    <w:p w:rsidR="009E6A79" w:rsidRPr="00873859" w:rsidRDefault="009E6A79" w:rsidP="00A428CA">
      <w:pPr>
        <w:autoSpaceDE w:val="0"/>
        <w:autoSpaceDN w:val="0"/>
        <w:adjustRightInd w:val="0"/>
        <w:spacing w:after="60" w:line="240" w:lineRule="auto"/>
        <w:jc w:val="both"/>
        <w:rPr>
          <w:rFonts w:cs="Verdana"/>
          <w:sz w:val="24"/>
          <w:szCs w:val="24"/>
        </w:rPr>
      </w:pPr>
    </w:p>
    <w:p w:rsidR="00A428CA" w:rsidRDefault="00773D28" w:rsidP="00A428CA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sz w:val="24"/>
          <w:szCs w:val="24"/>
        </w:rPr>
      </w:pPr>
      <w:r>
        <w:rPr>
          <w:rFonts w:cs="Verdana"/>
          <w:b/>
          <w:color w:val="365F91" w:themeColor="accent1" w:themeShade="BF"/>
          <w:sz w:val="24"/>
          <w:szCs w:val="24"/>
        </w:rPr>
        <w:t xml:space="preserve">FORMY WSPARCIA dla </w:t>
      </w:r>
      <w:r>
        <w:rPr>
          <w:rFonts w:cs="Verdana"/>
          <w:b/>
          <w:color w:val="C00000"/>
          <w:sz w:val="24"/>
          <w:szCs w:val="24"/>
        </w:rPr>
        <w:t>Kadry Dydaktycznej</w:t>
      </w:r>
    </w:p>
    <w:p w:rsidR="009E6A79" w:rsidRPr="00773D28" w:rsidRDefault="009E6A79" w:rsidP="00773D28">
      <w:pPr>
        <w:pStyle w:val="Akapitzlist"/>
        <w:numPr>
          <w:ilvl w:val="0"/>
          <w:numId w:val="19"/>
        </w:num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73D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Szkolenie: </w:t>
      </w:r>
      <w:r w:rsidRPr="00773D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Nowoczesne metody dydaktyczne</w:t>
      </w:r>
    </w:p>
    <w:p w:rsidR="00A428CA" w:rsidRDefault="00A428CA" w:rsidP="00A428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E6A79" w:rsidRDefault="009E6A79" w:rsidP="009E6A79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sz w:val="24"/>
          <w:szCs w:val="24"/>
        </w:rPr>
      </w:pPr>
      <w:r w:rsidRPr="00022668">
        <w:rPr>
          <w:rFonts w:cs="Verdana"/>
          <w:b/>
          <w:color w:val="365F91" w:themeColor="accent1" w:themeShade="BF"/>
          <w:sz w:val="24"/>
          <w:szCs w:val="24"/>
        </w:rPr>
        <w:t xml:space="preserve">FORMY WSPARCIA </w:t>
      </w:r>
      <w:r w:rsidR="00773D28">
        <w:rPr>
          <w:rFonts w:cs="Verdana"/>
          <w:b/>
          <w:color w:val="365F91" w:themeColor="accent1" w:themeShade="BF"/>
          <w:sz w:val="24"/>
          <w:szCs w:val="24"/>
        </w:rPr>
        <w:t>d</w:t>
      </w:r>
      <w:r w:rsidR="00773D28" w:rsidRPr="00022668">
        <w:rPr>
          <w:rFonts w:cs="Verdana"/>
          <w:b/>
          <w:color w:val="365F91" w:themeColor="accent1" w:themeShade="BF"/>
          <w:sz w:val="24"/>
          <w:szCs w:val="24"/>
        </w:rPr>
        <w:t xml:space="preserve">la </w:t>
      </w:r>
      <w:r w:rsidR="005C3FDC">
        <w:rPr>
          <w:rFonts w:cs="Verdana"/>
          <w:b/>
          <w:color w:val="C00000"/>
          <w:sz w:val="24"/>
          <w:szCs w:val="24"/>
        </w:rPr>
        <w:t>Kadry zarządzającej i a</w:t>
      </w:r>
      <w:r w:rsidR="00773D28">
        <w:rPr>
          <w:rFonts w:cs="Verdana"/>
          <w:b/>
          <w:color w:val="C00000"/>
          <w:sz w:val="24"/>
          <w:szCs w:val="24"/>
        </w:rPr>
        <w:t>dministracyjnej</w:t>
      </w:r>
    </w:p>
    <w:p w:rsidR="009E6A79" w:rsidRPr="00773D28" w:rsidRDefault="009E6A79" w:rsidP="00773D28">
      <w:pPr>
        <w:pStyle w:val="Akapitzlist"/>
        <w:numPr>
          <w:ilvl w:val="0"/>
          <w:numId w:val="17"/>
        </w:num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73D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Studia podyplomowe: </w:t>
      </w:r>
      <w:r w:rsidRPr="00773D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MBA w administracji</w:t>
      </w:r>
      <w:r w:rsidRPr="00773D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(3 osoby)</w:t>
      </w:r>
    </w:p>
    <w:p w:rsidR="009E6A79" w:rsidRPr="00773D28" w:rsidRDefault="009E6A79" w:rsidP="00773D28">
      <w:pPr>
        <w:pStyle w:val="Akapitzlist"/>
        <w:numPr>
          <w:ilvl w:val="0"/>
          <w:numId w:val="17"/>
        </w:num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73D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Studia podyplomowe: </w:t>
      </w:r>
      <w:r w:rsidRPr="00773D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Prawo zamówień publicznych</w:t>
      </w:r>
      <w:r w:rsidRPr="00773D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(2 osoby)</w:t>
      </w:r>
    </w:p>
    <w:p w:rsidR="009E6A79" w:rsidRPr="00773D28" w:rsidRDefault="009E6A79" w:rsidP="00773D28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73D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Studia podyplomowe: </w:t>
      </w:r>
      <w:r w:rsidRPr="00773D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Zarządzanie w oświacie</w:t>
      </w:r>
      <w:r w:rsidRPr="00773D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(1 osoba)</w:t>
      </w:r>
    </w:p>
    <w:p w:rsidR="009E6A79" w:rsidRPr="00773D28" w:rsidRDefault="009E6A79" w:rsidP="00773D28">
      <w:pPr>
        <w:pStyle w:val="Akapitzlist"/>
        <w:numPr>
          <w:ilvl w:val="0"/>
          <w:numId w:val="17"/>
        </w:numPr>
        <w:spacing w:after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73D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Studia podyplomowe: </w:t>
      </w:r>
      <w:r w:rsidRPr="00773D2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Rachunkowość, finanse i system podatkowy</w:t>
      </w:r>
      <w:r w:rsidRPr="00773D28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(3 osoby)</w:t>
      </w:r>
    </w:p>
    <w:p w:rsidR="009E6A79" w:rsidRDefault="009E6A79" w:rsidP="00A428CA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773D28" w:rsidRDefault="00773D28" w:rsidP="00A428CA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A428CA" w:rsidRPr="009E6A79" w:rsidRDefault="009E6A79" w:rsidP="009E6A79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b/>
          <w:color w:val="4F81BD" w:themeColor="accent1"/>
          <w:sz w:val="28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cs="Verdana"/>
          <w:b/>
          <w:color w:val="4F81BD" w:themeColor="accent1"/>
          <w:sz w:val="28"/>
          <w:szCs w:val="24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TERMINY REKRUTACJI</w:t>
      </w:r>
    </w:p>
    <w:p w:rsidR="009E6A79" w:rsidRDefault="009E6A79" w:rsidP="009E6A79">
      <w:pP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</w:p>
    <w:p w:rsidR="009E6A79" w:rsidRPr="009E6A79" w:rsidRDefault="009E6A79" w:rsidP="009E6A79">
      <w:pPr>
        <w:rPr>
          <w:rFonts w:ascii="Calibri" w:eastAsia="Times New Roman" w:hAnsi="Calibri" w:cs="Calibri"/>
          <w:bCs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REKRUTACJA</w:t>
      </w:r>
      <w:r w:rsidRPr="009E6A7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STUDENTÓW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/STUDENTEK</w:t>
      </w:r>
      <w:r w:rsidRPr="009E6A7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: </w:t>
      </w:r>
    </w:p>
    <w:p w:rsidR="009E6A79" w:rsidRPr="009E6A79" w:rsidRDefault="009E6A79" w:rsidP="009E6A79">
      <w:pPr>
        <w:spacing w:after="12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E6A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 edycja: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E6A79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 xml:space="preserve">od 1 września do 15 października 2019 r. 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>– 70 osób</w:t>
      </w:r>
    </w:p>
    <w:p w:rsidR="009E6A79" w:rsidRPr="009E6A79" w:rsidRDefault="009E6A79" w:rsidP="009E6A79">
      <w:pPr>
        <w:spacing w:after="12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E6A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 edycja: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E6A79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 xml:space="preserve">od 1 września do 15 października 2020 r. 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>– 70 osób</w:t>
      </w:r>
    </w:p>
    <w:p w:rsidR="009E6A79" w:rsidRPr="009E6A79" w:rsidRDefault="009E6A79" w:rsidP="009E6A79">
      <w:pPr>
        <w:spacing w:after="120"/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</w:pPr>
      <w:r w:rsidRPr="009E6A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III edycja: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E6A79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 xml:space="preserve">od 1 września do 15 października 2021 r. 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>– 70 osób</w:t>
      </w:r>
    </w:p>
    <w:p w:rsidR="009E6A79" w:rsidRPr="009E6A79" w:rsidRDefault="009E6A79" w:rsidP="009E6A79">
      <w:pPr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E6A79" w:rsidRPr="009E6A79" w:rsidRDefault="009E6A79" w:rsidP="009E6A79">
      <w:pP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REKRUTACJA</w:t>
      </w:r>
      <w:r w:rsidRPr="009E6A7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KADRY DYDAKTYCZNEJ: </w:t>
      </w:r>
    </w:p>
    <w:p w:rsidR="009E6A79" w:rsidRPr="009E6A79" w:rsidRDefault="009E6A79" w:rsidP="009E6A79">
      <w:pPr>
        <w:spacing w:after="12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E6A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 edycja: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E6A79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 xml:space="preserve">od 1 października do 30 listopada 2019 r.  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>– 5 osób</w:t>
      </w:r>
    </w:p>
    <w:p w:rsidR="009E6A79" w:rsidRPr="009E6A79" w:rsidRDefault="009E6A79" w:rsidP="009E6A79">
      <w:pPr>
        <w:spacing w:after="12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E6A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 edycja: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E6A79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 xml:space="preserve">od 1 października do 30 listopada 2020 r. 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>– 5 osób</w:t>
      </w:r>
    </w:p>
    <w:p w:rsidR="009E6A79" w:rsidRPr="009E6A79" w:rsidRDefault="009E6A79" w:rsidP="009E6A79">
      <w:pPr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9E6A79" w:rsidRPr="009E6A79" w:rsidRDefault="009E6A79" w:rsidP="009E6A79">
      <w:pPr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E6A79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REKRUTACJI KADRY ZARZĄDZAJĄCEJ I ADMINISTRACYJNEJ 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(Łącznie 7 osób): </w:t>
      </w:r>
    </w:p>
    <w:p w:rsidR="009E6A79" w:rsidRPr="009E6A79" w:rsidRDefault="009E6A79" w:rsidP="009E6A79">
      <w:pPr>
        <w:spacing w:after="12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E6A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 edycja: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E6A79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 xml:space="preserve">od 1 września do 15 września 2019 r. </w:t>
      </w:r>
    </w:p>
    <w:p w:rsidR="009E6A79" w:rsidRPr="009E6A79" w:rsidRDefault="009E6A79" w:rsidP="009E6A79">
      <w:pPr>
        <w:spacing w:after="12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E6A7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II edycja:</w:t>
      </w:r>
      <w:r w:rsidRPr="009E6A7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E6A79">
        <w:rPr>
          <w:rFonts w:ascii="Calibri" w:eastAsia="Times New Roman" w:hAnsi="Calibri" w:cs="Calibri"/>
          <w:bCs/>
          <w:color w:val="0070C0"/>
          <w:sz w:val="24"/>
          <w:szCs w:val="24"/>
          <w:lang w:eastAsia="pl-PL"/>
        </w:rPr>
        <w:t>od 1 września do 15 września 2020 r.</w:t>
      </w:r>
    </w:p>
    <w:p w:rsidR="00211EBB" w:rsidRDefault="00F407A5"/>
    <w:p w:rsidR="00244C6A" w:rsidRPr="00244C6A" w:rsidRDefault="00244C6A" w:rsidP="0024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pict>
          <v:rect id="_x0000_i1025" style="width:0;height:1.5pt" o:hralign="center" o:hrstd="t" o:hr="t" fillcolor="#a0a0a0" stroked="f"/>
        </w:pict>
      </w:r>
    </w:p>
    <w:p w:rsidR="00244C6A" w:rsidRPr="00244C6A" w:rsidRDefault="00244C6A" w:rsidP="00244C6A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44C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BIURO PROJEKTU</w:t>
      </w:r>
    </w:p>
    <w:p w:rsidR="00244C6A" w:rsidRPr="00244C6A" w:rsidRDefault="00244C6A" w:rsidP="00244C6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Dział Rozwoju i Współpracy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44C6A">
        <w:rPr>
          <w:rFonts w:ascii="Calibri" w:eastAsia="Times New Roman" w:hAnsi="Calibri" w:cs="Calibri"/>
          <w:sz w:val="24"/>
          <w:szCs w:val="24"/>
          <w:lang w:eastAsia="pl-PL"/>
        </w:rPr>
        <w:t>Żołnierzy I Armii Wojska Polskiego 1E,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44C6A">
        <w:rPr>
          <w:rFonts w:ascii="Calibri" w:eastAsia="Times New Roman" w:hAnsi="Calibri" w:cs="Calibri"/>
          <w:sz w:val="24"/>
          <w:szCs w:val="24"/>
          <w:lang w:eastAsia="pl-PL"/>
        </w:rPr>
        <w:t>37-700 Przemyśl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44C6A">
        <w:rPr>
          <w:rFonts w:ascii="Calibri" w:eastAsia="Times New Roman" w:hAnsi="Calibri" w:cs="Calibri"/>
          <w:sz w:val="24"/>
          <w:szCs w:val="24"/>
          <w:lang w:eastAsia="pl-PL"/>
        </w:rPr>
        <w:t xml:space="preserve">pokój nr </w:t>
      </w:r>
      <w:r w:rsidRPr="00244C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3.43</w:t>
      </w:r>
      <w:r w:rsidRPr="00244C6A">
        <w:rPr>
          <w:rFonts w:ascii="Calibri" w:eastAsia="Times New Roman" w:hAnsi="Calibri" w:cs="Calibri"/>
          <w:sz w:val="24"/>
          <w:szCs w:val="24"/>
          <w:lang w:eastAsia="pl-PL"/>
        </w:rPr>
        <w:t xml:space="preserve"> lub </w:t>
      </w:r>
      <w:r w:rsidRPr="00244C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3.46</w:t>
      </w:r>
      <w:r w:rsidRPr="00244C6A">
        <w:rPr>
          <w:rFonts w:ascii="Calibri" w:eastAsia="Times New Roman" w:hAnsi="Calibri" w:cs="Calibri"/>
          <w:sz w:val="24"/>
          <w:szCs w:val="24"/>
          <w:lang w:eastAsia="pl-PL"/>
        </w:rPr>
        <w:t xml:space="preserve">, II piętro </w:t>
      </w:r>
      <w:r w:rsidRPr="00244C6A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>(Kolegium Techniczne)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44C6A">
        <w:rPr>
          <w:rFonts w:ascii="Calibri" w:eastAsia="Times New Roman" w:hAnsi="Calibri" w:cs="Calibri"/>
          <w:sz w:val="24"/>
          <w:szCs w:val="24"/>
          <w:lang w:eastAsia="pl-PL"/>
        </w:rPr>
        <w:t xml:space="preserve">tel. </w:t>
      </w:r>
      <w:r w:rsidRPr="00244C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16 735 52 12 </w:t>
      </w:r>
      <w:r w:rsidRPr="00244C6A">
        <w:rPr>
          <w:rFonts w:ascii="Calibri" w:eastAsia="Times New Roman" w:hAnsi="Calibri" w:cs="Calibri"/>
          <w:bCs/>
          <w:sz w:val="24"/>
          <w:szCs w:val="24"/>
          <w:lang w:eastAsia="pl-PL"/>
        </w:rPr>
        <w:t>lub</w:t>
      </w:r>
      <w:r w:rsidRPr="00244C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16 735 52 08</w:t>
      </w:r>
    </w:p>
    <w:p w:rsidR="00244C6A" w:rsidRDefault="00244C6A"/>
    <w:sectPr w:rsidR="00244C6A" w:rsidSect="008E7E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56D"/>
    <w:multiLevelType w:val="hybridMultilevel"/>
    <w:tmpl w:val="0C36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10B3"/>
    <w:multiLevelType w:val="hybridMultilevel"/>
    <w:tmpl w:val="1FCC60A0"/>
    <w:lvl w:ilvl="0" w:tplc="0415000D">
      <w:start w:val="1"/>
      <w:numFmt w:val="bullet"/>
      <w:lvlText w:val=""/>
      <w:lvlJc w:val="left"/>
      <w:pPr>
        <w:ind w:left="26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>
    <w:nsid w:val="14A22CEC"/>
    <w:multiLevelType w:val="hybridMultilevel"/>
    <w:tmpl w:val="2C76107E"/>
    <w:lvl w:ilvl="0" w:tplc="101A1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13F6"/>
    <w:multiLevelType w:val="hybridMultilevel"/>
    <w:tmpl w:val="17486596"/>
    <w:lvl w:ilvl="0" w:tplc="101A1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17D2"/>
    <w:multiLevelType w:val="hybridMultilevel"/>
    <w:tmpl w:val="04BE61C0"/>
    <w:lvl w:ilvl="0" w:tplc="101A1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045B5"/>
    <w:multiLevelType w:val="hybridMultilevel"/>
    <w:tmpl w:val="764E1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D510A"/>
    <w:multiLevelType w:val="hybridMultilevel"/>
    <w:tmpl w:val="5E622CCC"/>
    <w:lvl w:ilvl="0" w:tplc="1EA4E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46472D"/>
    <w:multiLevelType w:val="hybridMultilevel"/>
    <w:tmpl w:val="912A872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E6263"/>
    <w:multiLevelType w:val="hybridMultilevel"/>
    <w:tmpl w:val="941C9C60"/>
    <w:lvl w:ilvl="0" w:tplc="101A1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52D2C"/>
    <w:multiLevelType w:val="hybridMultilevel"/>
    <w:tmpl w:val="7EDC40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E65B54"/>
    <w:multiLevelType w:val="hybridMultilevel"/>
    <w:tmpl w:val="0388F966"/>
    <w:lvl w:ilvl="0" w:tplc="101A1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A2D26"/>
    <w:multiLevelType w:val="hybridMultilevel"/>
    <w:tmpl w:val="A674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B77BC"/>
    <w:multiLevelType w:val="hybridMultilevel"/>
    <w:tmpl w:val="85FA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B1E75"/>
    <w:multiLevelType w:val="hybridMultilevel"/>
    <w:tmpl w:val="FE06E9A4"/>
    <w:lvl w:ilvl="0" w:tplc="E8AA77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270F5"/>
    <w:multiLevelType w:val="hybridMultilevel"/>
    <w:tmpl w:val="4F90A9DC"/>
    <w:lvl w:ilvl="0" w:tplc="101A1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F6992"/>
    <w:multiLevelType w:val="hybridMultilevel"/>
    <w:tmpl w:val="0C36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42598"/>
    <w:multiLevelType w:val="hybridMultilevel"/>
    <w:tmpl w:val="E36C5218"/>
    <w:lvl w:ilvl="0" w:tplc="1EA4E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24511E"/>
    <w:multiLevelType w:val="hybridMultilevel"/>
    <w:tmpl w:val="231EAEB4"/>
    <w:lvl w:ilvl="0" w:tplc="DAF452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5"/>
  </w:num>
  <w:num w:numId="5">
    <w:abstractNumId w:val="15"/>
  </w:num>
  <w:num w:numId="6">
    <w:abstractNumId w:val="17"/>
  </w:num>
  <w:num w:numId="7">
    <w:abstractNumId w:val="9"/>
  </w:num>
  <w:num w:numId="8">
    <w:abstractNumId w:val="6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13"/>
  </w:num>
  <w:num w:numId="14">
    <w:abstractNumId w:val="8"/>
  </w:num>
  <w:num w:numId="15">
    <w:abstractNumId w:val="3"/>
  </w:num>
  <w:num w:numId="16">
    <w:abstractNumId w:val="18"/>
  </w:num>
  <w:num w:numId="17">
    <w:abstractNumId w:val="14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57"/>
    <w:rsid w:val="00205A94"/>
    <w:rsid w:val="00244C6A"/>
    <w:rsid w:val="005C3FDC"/>
    <w:rsid w:val="00773D28"/>
    <w:rsid w:val="009834DB"/>
    <w:rsid w:val="009E6A79"/>
    <w:rsid w:val="00A235AF"/>
    <w:rsid w:val="00A428CA"/>
    <w:rsid w:val="00B94DAC"/>
    <w:rsid w:val="00C60019"/>
    <w:rsid w:val="00D77E57"/>
    <w:rsid w:val="00F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Wałczyńska-Gancarz</dc:creator>
  <cp:keywords/>
  <dc:description/>
  <cp:lastModifiedBy>Małgorzata Wałczyńska-Gancarz</cp:lastModifiedBy>
  <cp:revision>6</cp:revision>
  <dcterms:created xsi:type="dcterms:W3CDTF">2019-09-16T12:20:00Z</dcterms:created>
  <dcterms:modified xsi:type="dcterms:W3CDTF">2019-09-23T07:30:00Z</dcterms:modified>
</cp:coreProperties>
</file>